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3973C">
      <w:pPr>
        <w:rPr>
          <w:rFonts w:hint="eastAsia" w:ascii="方正小标宋简体" w:hAnsi="仿宋" w:eastAsia="方正小标宋简体"/>
          <w:kern w:val="0"/>
          <w:sz w:val="44"/>
          <w:szCs w:val="44"/>
        </w:rPr>
      </w:pPr>
      <w:r>
        <w:rPr>
          <w:rFonts w:hint="eastAsia" w:ascii="黑体" w:hAnsi="黑体" w:eastAsia="黑体"/>
          <w:sz w:val="32"/>
          <w:szCs w:val="32"/>
        </w:rPr>
        <w:t>附件1</w:t>
      </w:r>
    </w:p>
    <w:p w14:paraId="761DDE71">
      <w:pPr>
        <w:spacing w:line="600" w:lineRule="exact"/>
        <w:jc w:val="center"/>
        <w:rPr>
          <w:rFonts w:hint="eastAsia" w:ascii="方正小标宋简体" w:hAnsi="仿宋" w:eastAsia="方正小标宋简体"/>
          <w:kern w:val="0"/>
          <w:sz w:val="32"/>
          <w:szCs w:val="32"/>
        </w:rPr>
      </w:pPr>
      <w:r>
        <w:rPr>
          <w:rFonts w:hint="eastAsia" w:ascii="方正小标宋简体" w:hAnsi="仿宋" w:eastAsia="方正小标宋简体"/>
          <w:kern w:val="0"/>
          <w:sz w:val="32"/>
          <w:szCs w:val="32"/>
          <w:lang w:eastAsia="zh-CN"/>
        </w:rPr>
        <w:t>202</w:t>
      </w:r>
      <w:r>
        <w:rPr>
          <w:rFonts w:hint="eastAsia" w:ascii="方正小标宋简体" w:hAnsi="仿宋" w:eastAsia="方正小标宋简体"/>
          <w:kern w:val="0"/>
          <w:sz w:val="32"/>
          <w:szCs w:val="32"/>
          <w:lang w:val="en-US" w:eastAsia="zh-CN"/>
        </w:rPr>
        <w:t>6</w:t>
      </w:r>
      <w:r>
        <w:rPr>
          <w:rFonts w:hint="eastAsia" w:ascii="方正小标宋简体" w:hAnsi="仿宋" w:eastAsia="方正小标宋简体"/>
          <w:kern w:val="0"/>
          <w:sz w:val="32"/>
          <w:szCs w:val="32"/>
        </w:rPr>
        <w:t>年</w:t>
      </w:r>
      <w:r>
        <w:rPr>
          <w:rFonts w:hint="eastAsia" w:ascii="方正小标宋简体" w:hAnsi="仿宋" w:eastAsia="方正小标宋简体"/>
          <w:kern w:val="0"/>
          <w:sz w:val="32"/>
          <w:szCs w:val="32"/>
          <w:lang w:val="en-US" w:eastAsia="zh-CN"/>
        </w:rPr>
        <w:t>苏州建设交通高等职业技术学校</w:t>
      </w:r>
      <w:r>
        <w:rPr>
          <w:rFonts w:hint="eastAsia" w:ascii="方正小标宋简体" w:hAnsi="仿宋" w:eastAsia="方正小标宋简体"/>
          <w:kern w:val="0"/>
          <w:sz w:val="32"/>
          <w:szCs w:val="32"/>
        </w:rPr>
        <w:t>创新创业大赛</w:t>
      </w:r>
    </w:p>
    <w:p w14:paraId="22730D56">
      <w:pPr>
        <w:spacing w:line="600" w:lineRule="exact"/>
        <w:jc w:val="center"/>
        <w:rPr>
          <w:rFonts w:hint="eastAsia" w:ascii="方正小标宋简体" w:hAnsi="仿宋" w:eastAsia="方正小标宋简体"/>
          <w:kern w:val="0"/>
          <w:sz w:val="32"/>
          <w:szCs w:val="32"/>
        </w:rPr>
      </w:pPr>
      <w:r>
        <w:rPr>
          <w:rFonts w:hint="eastAsia" w:ascii="方正小标宋简体" w:hAnsi="仿宋" w:eastAsia="方正小标宋简体"/>
          <w:kern w:val="0"/>
          <w:sz w:val="32"/>
          <w:szCs w:val="32"/>
          <w:lang w:val="en-US" w:eastAsia="zh-CN"/>
        </w:rPr>
        <w:t xml:space="preserve"> </w:t>
      </w:r>
      <w:r>
        <w:rPr>
          <w:rFonts w:hint="eastAsia" w:ascii="方正小标宋简体" w:hAnsi="仿宋" w:eastAsia="方正小标宋简体"/>
          <w:kern w:val="0"/>
          <w:sz w:val="32"/>
          <w:szCs w:val="32"/>
        </w:rPr>
        <w:t>实施方案</w:t>
      </w:r>
    </w:p>
    <w:p w14:paraId="2B22DCD0">
      <w:pPr>
        <w:pStyle w:val="7"/>
        <w:keepNext w:val="0"/>
        <w:keepLines w:val="0"/>
        <w:pageBreakBefore w:val="0"/>
        <w:kinsoku/>
        <w:wordWrap/>
        <w:overflowPunct/>
        <w:topLinePunct w:val="0"/>
        <w:autoSpaceDE/>
        <w:autoSpaceDN/>
        <w:bidi w:val="0"/>
        <w:adjustRightInd/>
        <w:snapToGrid/>
        <w:spacing w:line="336" w:lineRule="auto"/>
        <w:textAlignment w:val="auto"/>
        <w:rPr>
          <w:rFonts w:hint="eastAsia"/>
          <w:sz w:val="24"/>
          <w:szCs w:val="24"/>
        </w:rPr>
      </w:pPr>
    </w:p>
    <w:p w14:paraId="56714D75">
      <w:pPr>
        <w:pStyle w:val="7"/>
        <w:keepNext w:val="0"/>
        <w:keepLines w:val="0"/>
        <w:pageBreakBefore w:val="0"/>
        <w:kinsoku/>
        <w:wordWrap/>
        <w:overflowPunct/>
        <w:topLinePunct w:val="0"/>
        <w:autoSpaceDE/>
        <w:autoSpaceDN/>
        <w:bidi w:val="0"/>
        <w:adjustRightInd/>
        <w:snapToGrid/>
        <w:spacing w:line="336" w:lineRule="auto"/>
        <w:ind w:left="0" w:leftChars="0" w:firstLine="480" w:firstLineChars="200"/>
        <w:textAlignment w:val="auto"/>
        <w:rPr>
          <w:sz w:val="24"/>
          <w:szCs w:val="24"/>
        </w:rPr>
      </w:pPr>
      <w:r>
        <w:rPr>
          <w:rFonts w:hint="eastAsia"/>
          <w:sz w:val="24"/>
          <w:szCs w:val="24"/>
        </w:rPr>
        <w:t>一、竞赛项目及内容</w:t>
      </w:r>
    </w:p>
    <w:p w14:paraId="0A9E9345">
      <w:pPr>
        <w:pStyle w:val="8"/>
        <w:keepNext w:val="0"/>
        <w:keepLines w:val="0"/>
        <w:pageBreakBefore w:val="0"/>
        <w:kinsoku/>
        <w:wordWrap/>
        <w:overflowPunct/>
        <w:topLinePunct w:val="0"/>
        <w:autoSpaceDE/>
        <w:autoSpaceDN/>
        <w:bidi w:val="0"/>
        <w:adjustRightInd/>
        <w:snapToGrid/>
        <w:spacing w:line="336" w:lineRule="auto"/>
        <w:textAlignment w:val="auto"/>
        <w:rPr>
          <w:sz w:val="24"/>
          <w:szCs w:val="24"/>
        </w:rPr>
      </w:pPr>
      <w:r>
        <w:rPr>
          <w:rFonts w:hint="eastAsia"/>
          <w:sz w:val="24"/>
          <w:szCs w:val="24"/>
        </w:rPr>
        <w:t>（一）竞赛项目</w:t>
      </w:r>
      <w:bookmarkStart w:id="0" w:name="_GoBack"/>
      <w:bookmarkEnd w:id="0"/>
    </w:p>
    <w:p w14:paraId="7A9415E4">
      <w:pPr>
        <w:pStyle w:val="9"/>
        <w:keepNext w:val="0"/>
        <w:keepLines w:val="0"/>
        <w:pageBreakBefore w:val="0"/>
        <w:kinsoku/>
        <w:wordWrap/>
        <w:overflowPunct/>
        <w:topLinePunct w:val="0"/>
        <w:autoSpaceDE/>
        <w:autoSpaceDN/>
        <w:bidi w:val="0"/>
        <w:adjustRightInd/>
        <w:snapToGrid/>
        <w:spacing w:line="336" w:lineRule="auto"/>
        <w:textAlignment w:val="auto"/>
        <w:rPr>
          <w:sz w:val="24"/>
          <w:szCs w:val="24"/>
        </w:rPr>
      </w:pPr>
      <w:r>
        <w:rPr>
          <w:rFonts w:hint="eastAsia"/>
          <w:sz w:val="24"/>
          <w:szCs w:val="24"/>
        </w:rPr>
        <w:t>本次大赛共设创意组、创业组、创新启蒙组和实践启蒙组等四个赛项。</w:t>
      </w:r>
    </w:p>
    <w:p w14:paraId="6B4FC9DD">
      <w:pPr>
        <w:pStyle w:val="8"/>
        <w:keepNext w:val="0"/>
        <w:keepLines w:val="0"/>
        <w:pageBreakBefore w:val="0"/>
        <w:kinsoku/>
        <w:wordWrap/>
        <w:overflowPunct/>
        <w:topLinePunct w:val="0"/>
        <w:autoSpaceDE/>
        <w:autoSpaceDN/>
        <w:bidi w:val="0"/>
        <w:adjustRightInd/>
        <w:snapToGrid/>
        <w:spacing w:line="336" w:lineRule="auto"/>
        <w:textAlignment w:val="auto"/>
        <w:rPr>
          <w:rFonts w:hint="eastAsia"/>
          <w:sz w:val="24"/>
          <w:szCs w:val="24"/>
        </w:rPr>
      </w:pPr>
      <w:r>
        <w:rPr>
          <w:rFonts w:hint="eastAsia"/>
          <w:sz w:val="24"/>
          <w:szCs w:val="24"/>
        </w:rPr>
        <w:t>（二）项目内容</w:t>
      </w:r>
    </w:p>
    <w:p w14:paraId="648EB6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7"/>
        <w:jc w:val="both"/>
        <w:textAlignment w:val="auto"/>
        <w:rPr>
          <w:rFonts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4"/>
          <w:sz w:val="24"/>
          <w:szCs w:val="24"/>
        </w:rPr>
        <w:t>赛项一：创意组</w:t>
      </w:r>
    </w:p>
    <w:p w14:paraId="57C3C0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参赛项目具有较好的创意和较为成型的产品原型、服务模式或针对生产加工工艺的创新技术，在</w:t>
      </w:r>
      <w:r>
        <w:rPr>
          <w:rFonts w:hint="default" w:ascii="仿宋" w:hAnsi="仿宋" w:eastAsia="仿宋" w:cs="仿宋"/>
          <w:i w:val="0"/>
          <w:iCs w:val="0"/>
          <w:caps w:val="0"/>
          <w:color w:val="333333"/>
          <w:spacing w:val="-4"/>
          <w:sz w:val="24"/>
          <w:szCs w:val="24"/>
        </w:rPr>
        <w:t>202</w:t>
      </w:r>
      <w:r>
        <w:rPr>
          <w:rFonts w:hint="eastAsia" w:ascii="仿宋" w:hAnsi="仿宋" w:eastAsia="仿宋" w:cs="仿宋"/>
          <w:i w:val="0"/>
          <w:iCs w:val="0"/>
          <w:caps w:val="0"/>
          <w:color w:val="333333"/>
          <w:spacing w:val="-4"/>
          <w:sz w:val="24"/>
          <w:szCs w:val="24"/>
          <w:lang w:val="en-US" w:eastAsia="zh-CN"/>
        </w:rPr>
        <w:t>6</w:t>
      </w:r>
      <w:r>
        <w:rPr>
          <w:rFonts w:hint="eastAsia" w:ascii="仿宋" w:hAnsi="仿宋" w:eastAsia="仿宋" w:cs="仿宋"/>
          <w:i w:val="0"/>
          <w:iCs w:val="0"/>
          <w:caps w:val="0"/>
          <w:color w:val="333333"/>
          <w:spacing w:val="-4"/>
          <w:sz w:val="24"/>
          <w:szCs w:val="24"/>
        </w:rPr>
        <w:t>年</w:t>
      </w:r>
      <w:r>
        <w:rPr>
          <w:rFonts w:hint="default" w:ascii="仿宋" w:hAnsi="仿宋" w:eastAsia="仿宋" w:cs="仿宋"/>
          <w:i w:val="0"/>
          <w:iCs w:val="0"/>
          <w:caps w:val="0"/>
          <w:color w:val="333333"/>
          <w:spacing w:val="-4"/>
          <w:sz w:val="24"/>
          <w:szCs w:val="24"/>
        </w:rPr>
        <w:t>4</w:t>
      </w:r>
      <w:r>
        <w:rPr>
          <w:rFonts w:hint="eastAsia" w:ascii="仿宋" w:hAnsi="仿宋" w:eastAsia="仿宋" w:cs="仿宋"/>
          <w:i w:val="0"/>
          <w:iCs w:val="0"/>
          <w:caps w:val="0"/>
          <w:color w:val="333333"/>
          <w:spacing w:val="-4"/>
          <w:sz w:val="24"/>
          <w:szCs w:val="24"/>
        </w:rPr>
        <w:t>月</w:t>
      </w:r>
      <w:r>
        <w:rPr>
          <w:rFonts w:hint="default" w:ascii="仿宋" w:hAnsi="仿宋" w:eastAsia="仿宋" w:cs="仿宋"/>
          <w:i w:val="0"/>
          <w:iCs w:val="0"/>
          <w:caps w:val="0"/>
          <w:color w:val="333333"/>
          <w:spacing w:val="-4"/>
          <w:sz w:val="24"/>
          <w:szCs w:val="24"/>
        </w:rPr>
        <w:t>1</w:t>
      </w:r>
      <w:r>
        <w:rPr>
          <w:rFonts w:hint="eastAsia" w:ascii="仿宋" w:hAnsi="仿宋" w:eastAsia="仿宋" w:cs="仿宋"/>
          <w:i w:val="0"/>
          <w:iCs w:val="0"/>
          <w:caps w:val="0"/>
          <w:color w:val="333333"/>
          <w:spacing w:val="-4"/>
          <w:sz w:val="24"/>
          <w:szCs w:val="24"/>
          <w:lang w:val="en-US" w:eastAsia="zh-CN"/>
        </w:rPr>
        <w:t>0</w:t>
      </w:r>
      <w:r>
        <w:rPr>
          <w:rFonts w:hint="eastAsia" w:ascii="仿宋" w:hAnsi="仿宋" w:eastAsia="仿宋" w:cs="仿宋"/>
          <w:i w:val="0"/>
          <w:iCs w:val="0"/>
          <w:caps w:val="0"/>
          <w:color w:val="333333"/>
          <w:spacing w:val="-4"/>
          <w:sz w:val="24"/>
          <w:szCs w:val="24"/>
        </w:rPr>
        <w:t>日（以下时间均包含当日）前尚未完成工商登记注册。参赛申报人须为团队负责人，参赛对象为职业院校全日制在校学生或江苏开放大学学历教育在读学生。学校科技成果转化的项目不能参加本组比赛（科技成果的完成人、所有人中有参赛申报人排名第一的除外）。</w:t>
      </w:r>
    </w:p>
    <w:p w14:paraId="45B0EF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参赛项目以团队为单位报名参赛，每个团队的参赛成员（实际核心成员）不少于</w:t>
      </w:r>
      <w:r>
        <w:rPr>
          <w:rFonts w:hint="default" w:ascii="Times New Roman" w:hAnsi="Times New Roman" w:eastAsia="仿宋" w:cs="Times New Roman"/>
          <w:i w:val="0"/>
          <w:iCs w:val="0"/>
          <w:caps w:val="0"/>
          <w:color w:val="333333"/>
          <w:spacing w:val="-4"/>
          <w:sz w:val="24"/>
          <w:szCs w:val="24"/>
        </w:rPr>
        <w:t>3</w:t>
      </w:r>
      <w:r>
        <w:rPr>
          <w:rFonts w:hint="eastAsia" w:ascii="仿宋" w:hAnsi="仿宋" w:eastAsia="仿宋" w:cs="仿宋"/>
          <w:i w:val="0"/>
          <w:iCs w:val="0"/>
          <w:caps w:val="0"/>
          <w:color w:val="333333"/>
          <w:spacing w:val="-4"/>
          <w:sz w:val="24"/>
          <w:szCs w:val="24"/>
        </w:rPr>
        <w:t>人，不多于</w:t>
      </w:r>
      <w:r>
        <w:rPr>
          <w:rFonts w:hint="default" w:ascii="Times New Roman" w:hAnsi="Times New Roman" w:eastAsia="仿宋" w:cs="Times New Roman"/>
          <w:i w:val="0"/>
          <w:iCs w:val="0"/>
          <w:caps w:val="0"/>
          <w:color w:val="333333"/>
          <w:spacing w:val="-4"/>
          <w:sz w:val="24"/>
          <w:szCs w:val="24"/>
        </w:rPr>
        <w:t>15</w:t>
      </w:r>
      <w:r>
        <w:rPr>
          <w:rFonts w:hint="eastAsia" w:ascii="仿宋" w:hAnsi="仿宋" w:eastAsia="仿宋" w:cs="仿宋"/>
          <w:i w:val="0"/>
          <w:iCs w:val="0"/>
          <w:caps w:val="0"/>
          <w:color w:val="333333"/>
          <w:spacing w:val="-4"/>
          <w:sz w:val="24"/>
          <w:szCs w:val="24"/>
        </w:rPr>
        <w:t>人（含团队负责人），指导教师不超过</w:t>
      </w:r>
      <w:r>
        <w:rPr>
          <w:rFonts w:hint="eastAsia" w:ascii="Times New Roman" w:eastAsia="仿宋" w:cs="Times New Roman"/>
          <w:i w:val="0"/>
          <w:iCs w:val="0"/>
          <w:caps w:val="0"/>
          <w:color w:val="333333"/>
          <w:spacing w:val="-4"/>
          <w:sz w:val="24"/>
          <w:szCs w:val="24"/>
          <w:lang w:val="en-US" w:eastAsia="zh-CN"/>
        </w:rPr>
        <w:t>2</w:t>
      </w:r>
      <w:r>
        <w:rPr>
          <w:rFonts w:hint="eastAsia" w:ascii="仿宋" w:hAnsi="仿宋" w:eastAsia="仿宋" w:cs="仿宋"/>
          <w:i w:val="0"/>
          <w:iCs w:val="0"/>
          <w:caps w:val="0"/>
          <w:color w:val="333333"/>
          <w:spacing w:val="-4"/>
          <w:sz w:val="24"/>
          <w:szCs w:val="24"/>
        </w:rPr>
        <w:t>人。参赛团队所报参赛项目，须为本团队策划或经营的项目，不可借用他人项目参赛。</w:t>
      </w:r>
    </w:p>
    <w:p w14:paraId="271038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该项目以经营状况、发展前景、营销策略、财务管理等作为参赛项目的主要评价内容；重点考察参赛项目的运营实绩和参赛选手的创业能力。竞赛由创业项目报告书和现场陈述答辩两部分构成。</w:t>
      </w:r>
    </w:p>
    <w:p w14:paraId="5A2D9D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创意赛项分两个阶段，第一阶段由评委对创业项目</w:t>
      </w:r>
      <w:r>
        <w:rPr>
          <w:rFonts w:hint="eastAsia" w:ascii="仿宋" w:hAnsi="仿宋" w:eastAsia="仿宋" w:cs="仿宋"/>
          <w:i w:val="0"/>
          <w:iCs w:val="0"/>
          <w:caps w:val="0"/>
          <w:color w:val="333333"/>
          <w:spacing w:val="-4"/>
          <w:sz w:val="24"/>
          <w:szCs w:val="24"/>
          <w:lang w:val="en-US" w:eastAsia="zh-CN"/>
        </w:rPr>
        <w:t>报告书及路演情况现场</w:t>
      </w:r>
      <w:r>
        <w:rPr>
          <w:rFonts w:hint="eastAsia" w:ascii="仿宋" w:hAnsi="仿宋" w:eastAsia="仿宋" w:cs="仿宋"/>
          <w:i w:val="0"/>
          <w:iCs w:val="0"/>
          <w:caps w:val="0"/>
          <w:color w:val="333333"/>
          <w:spacing w:val="-4"/>
          <w:sz w:val="24"/>
          <w:szCs w:val="24"/>
        </w:rPr>
        <w:t>评审，确定晋级决赛项目。第二阶段开展网络或现场展示。晋级决赛项目评审时，创业项目报告书（满分</w:t>
      </w:r>
      <w:r>
        <w:rPr>
          <w:rFonts w:hint="default" w:ascii="Times New Roman" w:hAnsi="Times New Roman" w:eastAsia="仿宋" w:cs="Times New Roman"/>
          <w:i w:val="0"/>
          <w:iCs w:val="0"/>
          <w:caps w:val="0"/>
          <w:color w:val="333333"/>
          <w:spacing w:val="-4"/>
          <w:sz w:val="24"/>
          <w:szCs w:val="24"/>
        </w:rPr>
        <w:t>100</w:t>
      </w:r>
      <w:r>
        <w:rPr>
          <w:rFonts w:hint="eastAsia" w:ascii="仿宋" w:hAnsi="仿宋" w:eastAsia="仿宋" w:cs="仿宋"/>
          <w:i w:val="0"/>
          <w:iCs w:val="0"/>
          <w:caps w:val="0"/>
          <w:color w:val="333333"/>
          <w:spacing w:val="-4"/>
          <w:sz w:val="24"/>
          <w:szCs w:val="24"/>
        </w:rPr>
        <w:t>分）占总成绩的</w:t>
      </w:r>
      <w:r>
        <w:rPr>
          <w:rFonts w:hint="default" w:ascii="Times New Roman" w:hAnsi="Times New Roman" w:eastAsia="仿宋" w:cs="Times New Roman"/>
          <w:i w:val="0"/>
          <w:iCs w:val="0"/>
          <w:caps w:val="0"/>
          <w:color w:val="333333"/>
          <w:spacing w:val="-4"/>
          <w:sz w:val="24"/>
          <w:szCs w:val="24"/>
        </w:rPr>
        <w:t>30%</w:t>
      </w:r>
      <w:r>
        <w:rPr>
          <w:rFonts w:hint="eastAsia" w:ascii="仿宋" w:hAnsi="仿宋" w:eastAsia="仿宋" w:cs="仿宋"/>
          <w:i w:val="0"/>
          <w:iCs w:val="0"/>
          <w:caps w:val="0"/>
          <w:color w:val="333333"/>
          <w:spacing w:val="-4"/>
          <w:sz w:val="24"/>
          <w:szCs w:val="24"/>
        </w:rPr>
        <w:t>；现场陈述答辩（满分</w:t>
      </w:r>
      <w:r>
        <w:rPr>
          <w:rFonts w:hint="default" w:ascii="Times New Roman" w:hAnsi="Times New Roman" w:eastAsia="仿宋" w:cs="Times New Roman"/>
          <w:i w:val="0"/>
          <w:iCs w:val="0"/>
          <w:caps w:val="0"/>
          <w:color w:val="333333"/>
          <w:spacing w:val="-4"/>
          <w:sz w:val="24"/>
          <w:szCs w:val="24"/>
        </w:rPr>
        <w:t>100</w:t>
      </w:r>
      <w:r>
        <w:rPr>
          <w:rFonts w:hint="eastAsia" w:ascii="仿宋" w:hAnsi="仿宋" w:eastAsia="仿宋" w:cs="仿宋"/>
          <w:i w:val="0"/>
          <w:iCs w:val="0"/>
          <w:caps w:val="0"/>
          <w:color w:val="333333"/>
          <w:spacing w:val="-4"/>
          <w:sz w:val="24"/>
          <w:szCs w:val="24"/>
        </w:rPr>
        <w:t>分）占总成绩的</w:t>
      </w:r>
      <w:r>
        <w:rPr>
          <w:rFonts w:hint="default" w:ascii="Times New Roman" w:hAnsi="Times New Roman" w:eastAsia="仿宋" w:cs="Times New Roman"/>
          <w:i w:val="0"/>
          <w:iCs w:val="0"/>
          <w:caps w:val="0"/>
          <w:color w:val="333333"/>
          <w:spacing w:val="-4"/>
          <w:sz w:val="24"/>
          <w:szCs w:val="24"/>
        </w:rPr>
        <w:t>70%</w:t>
      </w:r>
      <w:r>
        <w:rPr>
          <w:rFonts w:hint="eastAsia" w:ascii="仿宋" w:hAnsi="仿宋" w:eastAsia="仿宋" w:cs="仿宋"/>
          <w:i w:val="0"/>
          <w:iCs w:val="0"/>
          <w:caps w:val="0"/>
          <w:color w:val="333333"/>
          <w:spacing w:val="-4"/>
          <w:sz w:val="24"/>
          <w:szCs w:val="24"/>
        </w:rPr>
        <w:t>。</w:t>
      </w:r>
    </w:p>
    <w:p w14:paraId="2C2FA6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1. </w:t>
      </w:r>
      <w:r>
        <w:rPr>
          <w:rFonts w:hint="eastAsia" w:ascii="仿宋" w:hAnsi="仿宋" w:eastAsia="仿宋" w:cs="仿宋"/>
          <w:i w:val="0"/>
          <w:iCs w:val="0"/>
          <w:caps w:val="0"/>
          <w:color w:val="333333"/>
          <w:spacing w:val="-4"/>
          <w:sz w:val="24"/>
          <w:szCs w:val="24"/>
        </w:rPr>
        <w:t>创业项目报告书。创业项目报告书应内容完整、条理清晰、重点突出、力求简洁，相关数据真实、准确，能将运营项目有效展现。</w:t>
      </w:r>
    </w:p>
    <w:p w14:paraId="5F8E7E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ascii="黑体" w:hAnsi="宋体" w:eastAsia="黑体" w:cs="黑体"/>
          <w:i w:val="0"/>
          <w:iCs w:val="0"/>
          <w:caps w:val="0"/>
          <w:color w:val="0000FF"/>
          <w:spacing w:val="-4"/>
          <w:sz w:val="24"/>
          <w:szCs w:val="24"/>
          <w:highlight w:val="none"/>
        </w:rPr>
      </w:pPr>
      <w:r>
        <w:rPr>
          <w:rFonts w:hint="default" w:ascii="Times New Roman" w:hAnsi="Times New Roman" w:eastAsia="仿宋" w:cs="Times New Roman"/>
          <w:i w:val="0"/>
          <w:iCs w:val="0"/>
          <w:caps w:val="0"/>
          <w:color w:val="333333"/>
          <w:spacing w:val="-4"/>
          <w:sz w:val="24"/>
          <w:szCs w:val="24"/>
        </w:rPr>
        <w:t>2. </w:t>
      </w:r>
      <w:r>
        <w:rPr>
          <w:rFonts w:hint="eastAsia" w:ascii="仿宋" w:hAnsi="仿宋" w:eastAsia="仿宋" w:cs="仿宋"/>
          <w:i w:val="0"/>
          <w:iCs w:val="0"/>
          <w:caps w:val="0"/>
          <w:color w:val="333333"/>
          <w:spacing w:val="-4"/>
          <w:sz w:val="24"/>
          <w:szCs w:val="24"/>
        </w:rPr>
        <w:t>现场陈述答辩。由参赛团队负责人对创业项目进行现场展示陈述、答辩。陈述需结合</w:t>
      </w:r>
      <w:r>
        <w:rPr>
          <w:rFonts w:hint="default" w:ascii="Times New Roman" w:hAnsi="Times New Roman" w:eastAsia="仿宋" w:cs="Times New Roman"/>
          <w:i w:val="0"/>
          <w:iCs w:val="0"/>
          <w:caps w:val="0"/>
          <w:color w:val="333333"/>
          <w:spacing w:val="-4"/>
          <w:sz w:val="24"/>
          <w:szCs w:val="24"/>
        </w:rPr>
        <w:t>PPT</w:t>
      </w:r>
      <w:r>
        <w:rPr>
          <w:rFonts w:hint="eastAsia" w:ascii="仿宋" w:hAnsi="仿宋" w:eastAsia="仿宋" w:cs="仿宋"/>
          <w:i w:val="0"/>
          <w:iCs w:val="0"/>
          <w:caps w:val="0"/>
          <w:color w:val="333333"/>
          <w:spacing w:val="-4"/>
          <w:sz w:val="24"/>
          <w:szCs w:val="24"/>
        </w:rPr>
        <w:t>和创业项目运营展示介绍视频（时长不超过一分钟，视频格式</w:t>
      </w:r>
      <w:r>
        <w:rPr>
          <w:rFonts w:hint="default" w:ascii="Times New Roman" w:hAnsi="Times New Roman" w:eastAsia="仿宋" w:cs="Times New Roman"/>
          <w:i w:val="0"/>
          <w:iCs w:val="0"/>
          <w:caps w:val="0"/>
          <w:color w:val="333333"/>
          <w:spacing w:val="-4"/>
          <w:sz w:val="24"/>
          <w:szCs w:val="24"/>
        </w:rPr>
        <w:t>H.264MP4</w:t>
      </w:r>
      <w:r>
        <w:rPr>
          <w:rFonts w:hint="eastAsia" w:ascii="仿宋" w:hAnsi="仿宋" w:eastAsia="仿宋" w:cs="仿宋"/>
          <w:i w:val="0"/>
          <w:iCs w:val="0"/>
          <w:caps w:val="0"/>
          <w:color w:val="333333"/>
          <w:spacing w:val="-4"/>
          <w:sz w:val="24"/>
          <w:szCs w:val="24"/>
        </w:rPr>
        <w:t>，画面流畅，声音清晰，大小不超过</w:t>
      </w:r>
      <w:r>
        <w:rPr>
          <w:rFonts w:hint="default" w:ascii="Times New Roman" w:hAnsi="Times New Roman" w:eastAsia="仿宋" w:cs="Times New Roman"/>
          <w:i w:val="0"/>
          <w:iCs w:val="0"/>
          <w:caps w:val="0"/>
          <w:color w:val="333333"/>
          <w:spacing w:val="-4"/>
          <w:sz w:val="24"/>
          <w:szCs w:val="24"/>
        </w:rPr>
        <w:t>20M</w:t>
      </w:r>
      <w:r>
        <w:rPr>
          <w:rFonts w:hint="eastAsia" w:ascii="仿宋" w:hAnsi="仿宋" w:eastAsia="仿宋" w:cs="仿宋"/>
          <w:i w:val="0"/>
          <w:iCs w:val="0"/>
          <w:caps w:val="0"/>
          <w:color w:val="333333"/>
          <w:spacing w:val="-4"/>
          <w:sz w:val="24"/>
          <w:szCs w:val="24"/>
        </w:rPr>
        <w:t>。片头注明报送学校、企业名称、负责人姓名。展示视频在省级决赛前不作硬性要求，根据团队实际情况考虑是否提交）。</w:t>
      </w:r>
      <w:r>
        <w:rPr>
          <w:rFonts w:hint="eastAsia" w:ascii="仿宋" w:hAnsi="仿宋" w:eastAsia="仿宋" w:cs="仿宋"/>
          <w:i w:val="0"/>
          <w:iCs w:val="0"/>
          <w:caps w:val="0"/>
          <w:color w:val="0000FF"/>
          <w:spacing w:val="-4"/>
          <w:sz w:val="24"/>
          <w:szCs w:val="24"/>
          <w:highlight w:val="none"/>
          <w:u w:val="single"/>
        </w:rPr>
        <w:t>陈述时间不超过</w:t>
      </w:r>
      <w:r>
        <w:rPr>
          <w:rFonts w:hint="default" w:ascii="Times New Roman" w:hAnsi="Times New Roman" w:eastAsia="仿宋" w:cs="Times New Roman"/>
          <w:i w:val="0"/>
          <w:iCs w:val="0"/>
          <w:caps w:val="0"/>
          <w:color w:val="0000FF"/>
          <w:spacing w:val="-4"/>
          <w:sz w:val="24"/>
          <w:szCs w:val="24"/>
          <w:highlight w:val="none"/>
          <w:u w:val="single"/>
        </w:rPr>
        <w:t>7</w:t>
      </w:r>
      <w:r>
        <w:rPr>
          <w:rFonts w:hint="eastAsia" w:ascii="仿宋" w:hAnsi="仿宋" w:eastAsia="仿宋" w:cs="仿宋"/>
          <w:i w:val="0"/>
          <w:iCs w:val="0"/>
          <w:caps w:val="0"/>
          <w:color w:val="0000FF"/>
          <w:spacing w:val="-4"/>
          <w:sz w:val="24"/>
          <w:szCs w:val="24"/>
          <w:highlight w:val="none"/>
          <w:u w:val="single"/>
        </w:rPr>
        <w:t>分钟（含视频播放时间），评委提问及选手回答时间不超过</w:t>
      </w:r>
      <w:r>
        <w:rPr>
          <w:rFonts w:hint="default" w:ascii="Times New Roman" w:hAnsi="Times New Roman" w:eastAsia="仿宋" w:cs="Times New Roman"/>
          <w:i w:val="0"/>
          <w:iCs w:val="0"/>
          <w:caps w:val="0"/>
          <w:color w:val="0000FF"/>
          <w:spacing w:val="-4"/>
          <w:sz w:val="24"/>
          <w:szCs w:val="24"/>
          <w:highlight w:val="none"/>
          <w:u w:val="single"/>
        </w:rPr>
        <w:t>5</w:t>
      </w:r>
      <w:r>
        <w:rPr>
          <w:rFonts w:hint="eastAsia" w:ascii="仿宋" w:hAnsi="仿宋" w:eastAsia="仿宋" w:cs="仿宋"/>
          <w:i w:val="0"/>
          <w:iCs w:val="0"/>
          <w:caps w:val="0"/>
          <w:color w:val="0000FF"/>
          <w:spacing w:val="-4"/>
          <w:sz w:val="24"/>
          <w:szCs w:val="24"/>
          <w:highlight w:val="none"/>
          <w:u w:val="single"/>
        </w:rPr>
        <w:t>分钟。</w:t>
      </w:r>
    </w:p>
    <w:p w14:paraId="2B23AA36">
      <w:pPr>
        <w:pStyle w:val="9"/>
        <w:keepNext w:val="0"/>
        <w:keepLines w:val="0"/>
        <w:pageBreakBefore w:val="0"/>
        <w:kinsoku/>
        <w:wordWrap/>
        <w:overflowPunct/>
        <w:topLinePunct w:val="0"/>
        <w:autoSpaceDE/>
        <w:autoSpaceDN/>
        <w:bidi w:val="0"/>
        <w:adjustRightInd/>
        <w:snapToGrid/>
        <w:spacing w:line="336" w:lineRule="auto"/>
        <w:ind w:firstLine="643"/>
        <w:jc w:val="center"/>
        <w:textAlignment w:val="auto"/>
        <w:rPr>
          <w:rFonts w:ascii="黑体" w:hAnsi="宋体" w:eastAsia="黑体" w:cs="黑体"/>
          <w:i w:val="0"/>
          <w:iCs w:val="0"/>
          <w:caps w:val="0"/>
          <w:color w:val="333333"/>
          <w:spacing w:val="-4"/>
          <w:sz w:val="24"/>
          <w:szCs w:val="24"/>
        </w:rPr>
      </w:pPr>
      <w:r>
        <w:rPr>
          <w:rFonts w:ascii="黑体" w:hAnsi="宋体" w:eastAsia="黑体" w:cs="黑体"/>
          <w:i w:val="0"/>
          <w:iCs w:val="0"/>
          <w:caps w:val="0"/>
          <w:color w:val="333333"/>
          <w:spacing w:val="-4"/>
          <w:sz w:val="24"/>
          <w:szCs w:val="24"/>
        </w:rPr>
        <w:t>创意组项目评审要点</w:t>
      </w:r>
    </w:p>
    <w:tbl>
      <w:tblPr>
        <w:tblStyle w:val="5"/>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5"/>
        <w:gridCol w:w="6490"/>
        <w:gridCol w:w="717"/>
      </w:tblGrid>
      <w:tr w14:paraId="7DFD18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rPr>
        <w:tc>
          <w:tcPr>
            <w:tcW w:w="1184" w:type="dxa"/>
            <w:tcBorders>
              <w:top w:val="single" w:color="000000" w:sz="8" w:space="0"/>
              <w:left w:val="single" w:color="000000" w:sz="8" w:space="0"/>
              <w:bottom w:val="single" w:color="000000" w:sz="8" w:space="0"/>
              <w:right w:val="single" w:color="000000" w:sz="8" w:space="0"/>
            </w:tcBorders>
            <w:shd w:val="clear" w:color="auto" w:fill="auto"/>
            <w:tcMar>
              <w:left w:w="28" w:type="dxa"/>
              <w:right w:w="28" w:type="dxa"/>
            </w:tcMar>
            <w:vAlign w:val="center"/>
          </w:tcPr>
          <w:p w14:paraId="7BCF22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0"/>
              <w:jc w:val="center"/>
              <w:textAlignment w:val="auto"/>
              <w:rPr>
                <w:rFonts w:ascii="等线" w:hAnsi="等线" w:eastAsia="等线" w:cs="等线"/>
                <w:sz w:val="24"/>
                <w:szCs w:val="24"/>
              </w:rPr>
            </w:pPr>
            <w:r>
              <w:rPr>
                <w:rFonts w:ascii="黑体" w:hAnsi="宋体" w:eastAsia="黑体" w:cs="黑体"/>
                <w:i w:val="0"/>
                <w:iCs w:val="0"/>
                <w:caps w:val="0"/>
                <w:color w:val="333333"/>
                <w:spacing w:val="-4"/>
                <w:sz w:val="24"/>
                <w:szCs w:val="24"/>
              </w:rPr>
              <w:t>评审要点</w:t>
            </w:r>
          </w:p>
        </w:tc>
        <w:tc>
          <w:tcPr>
            <w:tcW w:w="6695" w:type="dxa"/>
            <w:tcBorders>
              <w:top w:val="single" w:color="000000" w:sz="8" w:space="0"/>
              <w:left w:val="nil"/>
              <w:bottom w:val="single" w:color="000000" w:sz="8" w:space="0"/>
              <w:right w:val="single" w:color="000000" w:sz="8" w:space="0"/>
            </w:tcBorders>
            <w:shd w:val="clear" w:color="auto" w:fill="auto"/>
            <w:tcMar>
              <w:left w:w="28" w:type="dxa"/>
              <w:right w:w="28" w:type="dxa"/>
            </w:tcMar>
            <w:vAlign w:val="center"/>
          </w:tcPr>
          <w:p w14:paraId="570762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0"/>
              <w:jc w:val="center"/>
              <w:textAlignment w:val="auto"/>
              <w:rPr>
                <w:rFonts w:hint="eastAsia" w:ascii="等线" w:hAnsi="等线" w:eastAsia="等线" w:cs="等线"/>
                <w:sz w:val="24"/>
                <w:szCs w:val="24"/>
              </w:rPr>
            </w:pPr>
            <w:r>
              <w:rPr>
                <w:rFonts w:hint="eastAsia" w:ascii="黑体" w:hAnsi="宋体" w:eastAsia="黑体" w:cs="黑体"/>
                <w:i w:val="0"/>
                <w:iCs w:val="0"/>
                <w:caps w:val="0"/>
                <w:color w:val="333333"/>
                <w:spacing w:val="-4"/>
                <w:sz w:val="24"/>
                <w:szCs w:val="24"/>
              </w:rPr>
              <w:t>评审内容</w:t>
            </w:r>
          </w:p>
        </w:tc>
        <w:tc>
          <w:tcPr>
            <w:tcW w:w="732" w:type="dxa"/>
            <w:tcBorders>
              <w:top w:val="single" w:color="000000" w:sz="8" w:space="0"/>
              <w:left w:val="nil"/>
              <w:bottom w:val="single" w:color="000000" w:sz="8" w:space="0"/>
              <w:right w:val="single" w:color="000000" w:sz="8" w:space="0"/>
            </w:tcBorders>
            <w:shd w:val="clear" w:color="auto" w:fill="auto"/>
            <w:tcMar>
              <w:left w:w="28" w:type="dxa"/>
              <w:right w:w="28" w:type="dxa"/>
            </w:tcMar>
            <w:vAlign w:val="center"/>
          </w:tcPr>
          <w:p w14:paraId="1E3AED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0"/>
              <w:jc w:val="center"/>
              <w:textAlignment w:val="auto"/>
              <w:rPr>
                <w:rFonts w:hint="eastAsia" w:ascii="等线" w:hAnsi="等线" w:eastAsia="等线" w:cs="等线"/>
                <w:sz w:val="24"/>
                <w:szCs w:val="24"/>
              </w:rPr>
            </w:pPr>
            <w:r>
              <w:rPr>
                <w:rFonts w:hint="eastAsia" w:ascii="黑体" w:hAnsi="宋体" w:eastAsia="黑体" w:cs="黑体"/>
                <w:i w:val="0"/>
                <w:iCs w:val="0"/>
                <w:caps w:val="0"/>
                <w:color w:val="333333"/>
                <w:spacing w:val="-4"/>
                <w:sz w:val="24"/>
                <w:szCs w:val="24"/>
              </w:rPr>
              <w:t>分数</w:t>
            </w:r>
          </w:p>
        </w:tc>
      </w:tr>
      <w:tr w14:paraId="735B90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2" w:hRule="atLeast"/>
        </w:trPr>
        <w:tc>
          <w:tcPr>
            <w:tcW w:w="1184"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6E1C1034">
            <w:pPr>
              <w:jc w:val="center"/>
              <w:rPr>
                <w:rFonts w:hint="eastAsia" w:ascii="等线" w:hAnsi="等线" w:eastAsia="等线" w:cs="等线"/>
                <w:sz w:val="24"/>
                <w:szCs w:val="24"/>
              </w:rPr>
            </w:pPr>
            <w:r>
              <w:rPr>
                <w:rFonts w:hint="eastAsia" w:hAnsi="仿宋_GB2312" w:cs="仿宋_GB2312"/>
              </w:rPr>
              <w:t>教育维度</w:t>
            </w:r>
          </w:p>
        </w:tc>
        <w:tc>
          <w:tcPr>
            <w:tcW w:w="6695" w:type="dxa"/>
            <w:tcBorders>
              <w:top w:val="nil"/>
              <w:left w:val="nil"/>
              <w:bottom w:val="single" w:color="000000" w:sz="8" w:space="0"/>
              <w:right w:val="single" w:color="000000" w:sz="8" w:space="0"/>
            </w:tcBorders>
            <w:shd w:val="clear" w:color="auto" w:fill="auto"/>
            <w:tcMar>
              <w:left w:w="28" w:type="dxa"/>
              <w:right w:w="28" w:type="dxa"/>
            </w:tcMar>
            <w:vAlign w:val="center"/>
          </w:tcPr>
          <w:p w14:paraId="6DC2ECBD">
            <w:pPr>
              <w:rPr>
                <w:rFonts w:hAnsi="仿宋_GB2312" w:cs="仿宋_GB2312"/>
                <w:spacing w:val="-2"/>
              </w:rPr>
            </w:pPr>
            <w:r>
              <w:rPr>
                <w:rFonts w:hint="eastAsia" w:hAnsi="仿宋_GB2312" w:cs="仿宋_GB2312"/>
                <w:spacing w:val="-2"/>
              </w:rPr>
              <w:t>1.项目应弘扬正确的价值观，体现家国情怀，恪守伦理规范，有助于培育创新创业精神。</w:t>
            </w:r>
          </w:p>
          <w:p w14:paraId="2A347D26">
            <w:pPr>
              <w:rPr>
                <w:rFonts w:hAnsi="仿宋_GB2312" w:cs="仿宋_GB2312"/>
                <w:spacing w:val="-2"/>
              </w:rPr>
            </w:pPr>
            <w:r>
              <w:rPr>
                <w:rFonts w:hint="eastAsia" w:hAnsi="仿宋_GB2312" w:cs="仿宋_GB2312"/>
                <w:spacing w:val="-2"/>
              </w:rPr>
              <w:t>2.项目符合将专业知识与商业知识有效结合并转化为商业价值或社会价值的创新创业基本过程和基本逻辑，展现创新创业教育对创业者基本素养和认知的塑造力。</w:t>
            </w:r>
          </w:p>
          <w:p w14:paraId="65124275">
            <w:pPr>
              <w:rPr>
                <w:rFonts w:hAnsi="仿宋_GB2312" w:cs="仿宋_GB2312"/>
                <w:spacing w:val="-2"/>
              </w:rPr>
            </w:pPr>
            <w:r>
              <w:rPr>
                <w:rFonts w:hint="eastAsia" w:hAnsi="仿宋_GB2312" w:cs="仿宋_GB2312"/>
                <w:spacing w:val="-2"/>
              </w:rPr>
              <w:t>3.体现团队对创新创业所需知识（专业知识、商业知识、行业知识等）与技能（计划、组织、领导、控制、创新等）的娴熟掌握与应用，展现创新创业教育提升创业者综合能力的效力。</w:t>
            </w:r>
          </w:p>
          <w:p w14:paraId="63CA8A59">
            <w:pPr>
              <w:rPr>
                <w:rFonts w:hAnsi="仿宋_GB2312" w:cs="仿宋_GB2312"/>
                <w:spacing w:val="-2"/>
              </w:rPr>
            </w:pPr>
            <w:r>
              <w:rPr>
                <w:rFonts w:hint="eastAsia" w:hAnsi="仿宋_GB2312" w:cs="仿宋_GB2312"/>
                <w:spacing w:val="-2"/>
              </w:rPr>
              <w:t>4.项目充分体现团队解决复杂问题的综合能力和高级思维；体现项目成长对团队成员创新创业精神、意识、能力的锻炼和提升作用。</w:t>
            </w:r>
          </w:p>
          <w:p w14:paraId="2F25692D">
            <w:pPr>
              <w:rPr>
                <w:rFonts w:hint="eastAsia" w:ascii="等线" w:hAnsi="等线" w:eastAsia="等线" w:cs="等线"/>
                <w:sz w:val="24"/>
                <w:szCs w:val="24"/>
              </w:rPr>
            </w:pPr>
            <w:r>
              <w:rPr>
                <w:rFonts w:hint="eastAsia" w:hAnsi="仿宋_GB2312" w:cs="仿宋_GB2312"/>
                <w:spacing w:val="-2"/>
              </w:rPr>
              <w:t>5.项目能充分体现院校在职业教育建设方面取得的成果；体现院校在项目的培育、孵化等方面的支持情况；体现多学科交叉、专创融合、产学研协同创新、产教融合等模式在项目的产生与执行中的重要作用。</w:t>
            </w:r>
          </w:p>
        </w:tc>
        <w:tc>
          <w:tcPr>
            <w:tcW w:w="732" w:type="dxa"/>
            <w:tcBorders>
              <w:top w:val="nil"/>
              <w:left w:val="nil"/>
              <w:bottom w:val="single" w:color="000000" w:sz="8" w:space="0"/>
              <w:right w:val="single" w:color="000000" w:sz="8" w:space="0"/>
            </w:tcBorders>
            <w:shd w:val="clear" w:color="auto" w:fill="auto"/>
            <w:tcMar>
              <w:left w:w="28" w:type="dxa"/>
              <w:right w:w="28" w:type="dxa"/>
            </w:tcMar>
            <w:vAlign w:val="center"/>
          </w:tcPr>
          <w:p w14:paraId="40060E21">
            <w:pPr>
              <w:jc w:val="center"/>
              <w:rPr>
                <w:rFonts w:hint="eastAsia" w:ascii="等线" w:hAnsi="等线" w:eastAsia="等线" w:cs="等线"/>
                <w:sz w:val="24"/>
                <w:szCs w:val="24"/>
              </w:rPr>
            </w:pPr>
            <w:r>
              <w:rPr>
                <w:rFonts w:hint="eastAsia" w:hAnsi="仿宋_GB2312" w:cs="仿宋_GB2312"/>
                <w:b/>
                <w:bCs/>
              </w:rPr>
              <w:t>30</w:t>
            </w:r>
          </w:p>
        </w:tc>
      </w:tr>
      <w:tr w14:paraId="3F85DC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02" w:hRule="atLeast"/>
        </w:trPr>
        <w:tc>
          <w:tcPr>
            <w:tcW w:w="1184"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1BB3BFFC">
            <w:pPr>
              <w:jc w:val="center"/>
              <w:rPr>
                <w:rFonts w:hint="eastAsia" w:ascii="等线" w:hAnsi="等线" w:eastAsia="等线" w:cs="等线"/>
                <w:sz w:val="24"/>
                <w:szCs w:val="24"/>
              </w:rPr>
            </w:pPr>
            <w:r>
              <w:rPr>
                <w:rFonts w:hint="eastAsia" w:hAnsi="仿宋_GB2312" w:cs="仿宋_GB2312"/>
              </w:rPr>
              <w:t>创新维度</w:t>
            </w:r>
          </w:p>
        </w:tc>
        <w:tc>
          <w:tcPr>
            <w:tcW w:w="6695" w:type="dxa"/>
            <w:tcBorders>
              <w:top w:val="nil"/>
              <w:left w:val="nil"/>
              <w:bottom w:val="single" w:color="000000" w:sz="8" w:space="0"/>
              <w:right w:val="single" w:color="000000" w:sz="8" w:space="0"/>
            </w:tcBorders>
            <w:shd w:val="clear" w:color="auto" w:fill="auto"/>
            <w:tcMar>
              <w:left w:w="28" w:type="dxa"/>
              <w:right w:w="28" w:type="dxa"/>
            </w:tcMar>
            <w:vAlign w:val="center"/>
          </w:tcPr>
          <w:p w14:paraId="6A94D19B">
            <w:pPr>
              <w:rPr>
                <w:rFonts w:hAnsi="仿宋_GB2312" w:cs="仿宋_GB2312"/>
                <w:spacing w:val="-2"/>
              </w:rPr>
            </w:pPr>
            <w:r>
              <w:rPr>
                <w:rFonts w:hint="eastAsia" w:hAnsi="仿宋_GB2312" w:cs="仿宋_GB2312"/>
                <w:spacing w:val="-2"/>
              </w:rPr>
              <w:t>1.具有原始创意、创造。</w:t>
            </w:r>
          </w:p>
          <w:p w14:paraId="1C5D1CC7">
            <w:pPr>
              <w:rPr>
                <w:rFonts w:hAnsi="仿宋_GB2312" w:cs="仿宋_GB2312"/>
                <w:spacing w:val="-2"/>
              </w:rPr>
            </w:pPr>
            <w:r>
              <w:rPr>
                <w:rFonts w:hint="eastAsia" w:hAnsi="仿宋_GB2312" w:cs="仿宋_GB2312"/>
                <w:spacing w:val="-2"/>
              </w:rPr>
              <w:t>2.具有面向培养“大国工匠”与能工巧匠的创意与创新。</w:t>
            </w:r>
          </w:p>
          <w:p w14:paraId="32D95892">
            <w:pPr>
              <w:rPr>
                <w:rFonts w:hAnsi="仿宋_GB2312" w:cs="仿宋_GB2312"/>
                <w:spacing w:val="-2"/>
              </w:rPr>
            </w:pPr>
            <w:r>
              <w:rPr>
                <w:rFonts w:hint="eastAsia" w:hAnsi="仿宋_GB2312" w:cs="仿宋_GB2312"/>
                <w:spacing w:val="-2"/>
              </w:rPr>
              <w:t>3.项目体现产教融合模式创新、校企合作模式创新、工学一体模式创新。</w:t>
            </w:r>
          </w:p>
          <w:p w14:paraId="6D9BC9A4">
            <w:pPr>
              <w:rPr>
                <w:rFonts w:hint="eastAsia" w:ascii="等线" w:hAnsi="等线" w:eastAsia="等线" w:cs="等线"/>
                <w:sz w:val="24"/>
                <w:szCs w:val="24"/>
              </w:rPr>
            </w:pPr>
            <w:r>
              <w:rPr>
                <w:rFonts w:hint="eastAsia" w:hAnsi="仿宋_GB2312" w:cs="仿宋_GB2312"/>
                <w:spacing w:val="-2"/>
              </w:rPr>
              <w:t>4.鼓励面向职业和岗位的创意及创新，侧重于加工工艺创新、实用技术创新、产品（技术）改良、应用性优化、民生类创意等。</w:t>
            </w:r>
          </w:p>
        </w:tc>
        <w:tc>
          <w:tcPr>
            <w:tcW w:w="732" w:type="dxa"/>
            <w:tcBorders>
              <w:top w:val="nil"/>
              <w:left w:val="nil"/>
              <w:bottom w:val="single" w:color="000000" w:sz="8" w:space="0"/>
              <w:right w:val="single" w:color="000000" w:sz="8" w:space="0"/>
            </w:tcBorders>
            <w:shd w:val="clear" w:color="auto" w:fill="auto"/>
            <w:tcMar>
              <w:left w:w="28" w:type="dxa"/>
              <w:right w:w="28" w:type="dxa"/>
            </w:tcMar>
            <w:vAlign w:val="center"/>
          </w:tcPr>
          <w:p w14:paraId="63B0AB43">
            <w:pPr>
              <w:jc w:val="center"/>
              <w:rPr>
                <w:rFonts w:hint="eastAsia" w:ascii="等线" w:hAnsi="等线" w:eastAsia="等线" w:cs="等线"/>
                <w:sz w:val="24"/>
                <w:szCs w:val="24"/>
              </w:rPr>
            </w:pPr>
            <w:r>
              <w:rPr>
                <w:rFonts w:hint="eastAsia" w:hAnsi="仿宋_GB2312" w:cs="仿宋_GB2312"/>
                <w:b/>
                <w:bCs/>
              </w:rPr>
              <w:t>20</w:t>
            </w:r>
          </w:p>
        </w:tc>
      </w:tr>
      <w:tr w14:paraId="145C9B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80" w:hRule="atLeast"/>
        </w:trPr>
        <w:tc>
          <w:tcPr>
            <w:tcW w:w="1184"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744FE27E">
            <w:pPr>
              <w:jc w:val="center"/>
              <w:rPr>
                <w:rFonts w:hint="eastAsia" w:ascii="等线" w:hAnsi="等线" w:eastAsia="等线" w:cs="等线"/>
                <w:sz w:val="24"/>
                <w:szCs w:val="24"/>
              </w:rPr>
            </w:pPr>
            <w:r>
              <w:rPr>
                <w:rFonts w:hint="eastAsia" w:hAnsi="仿宋_GB2312" w:cs="仿宋_GB2312"/>
              </w:rPr>
              <w:t>团队维度</w:t>
            </w:r>
          </w:p>
        </w:tc>
        <w:tc>
          <w:tcPr>
            <w:tcW w:w="6695" w:type="dxa"/>
            <w:tcBorders>
              <w:top w:val="nil"/>
              <w:left w:val="nil"/>
              <w:bottom w:val="single" w:color="000000" w:sz="8" w:space="0"/>
              <w:right w:val="single" w:color="000000" w:sz="8" w:space="0"/>
            </w:tcBorders>
            <w:shd w:val="clear" w:color="auto" w:fill="auto"/>
            <w:tcMar>
              <w:left w:w="28" w:type="dxa"/>
              <w:right w:w="28" w:type="dxa"/>
            </w:tcMar>
            <w:vAlign w:val="center"/>
          </w:tcPr>
          <w:p w14:paraId="62C2B886">
            <w:pPr>
              <w:rPr>
                <w:rFonts w:hAnsi="仿宋_GB2312" w:cs="仿宋_GB2312"/>
                <w:spacing w:val="-2"/>
              </w:rPr>
            </w:pPr>
            <w:r>
              <w:rPr>
                <w:rFonts w:hint="eastAsia" w:hAnsi="仿宋_GB2312" w:cs="仿宋_GB2312"/>
                <w:spacing w:val="-2"/>
              </w:rPr>
              <w:t>1.团队的组成原则与过程是否科学合理；团队是否具有支撑项目成长的知识、技术和经验；是否有明确的使命愿景。</w:t>
            </w:r>
          </w:p>
          <w:p w14:paraId="315B55C4">
            <w:pPr>
              <w:rPr>
                <w:rFonts w:hAnsi="仿宋_GB2312" w:cs="仿宋_GB2312"/>
                <w:spacing w:val="-2"/>
              </w:rPr>
            </w:pPr>
            <w:r>
              <w:rPr>
                <w:rFonts w:hint="eastAsia" w:hAnsi="仿宋_GB2312" w:cs="仿宋_GB2312"/>
                <w:spacing w:val="-2"/>
              </w:rPr>
              <w:t>2.团队的组织构架、人员配置、分工协作、能力结构、专业结构、合作机制、激励制度等的合理性情况。</w:t>
            </w:r>
          </w:p>
          <w:p w14:paraId="759687E0">
            <w:pPr>
              <w:rPr>
                <w:rFonts w:hAnsi="仿宋_GB2312" w:cs="仿宋_GB2312"/>
                <w:spacing w:val="-2"/>
              </w:rPr>
            </w:pPr>
            <w:r>
              <w:rPr>
                <w:rFonts w:hint="eastAsia" w:hAnsi="仿宋_GB2312" w:cs="仿宋_GB2312"/>
                <w:spacing w:val="-2"/>
              </w:rPr>
              <w:t>3.团队与项目关系的真实性、紧密性情况；对项目的各项投入情况；创立创业企业的可能性情况。</w:t>
            </w:r>
          </w:p>
          <w:p w14:paraId="7A1D61DA">
            <w:pPr>
              <w:rPr>
                <w:rFonts w:hint="eastAsia" w:ascii="等线" w:hAnsi="等线" w:eastAsia="等线" w:cs="等线"/>
                <w:sz w:val="24"/>
                <w:szCs w:val="24"/>
              </w:rPr>
            </w:pPr>
            <w:r>
              <w:rPr>
                <w:rFonts w:hint="eastAsia" w:hAnsi="仿宋_GB2312" w:cs="仿宋_GB2312"/>
                <w:spacing w:val="-2"/>
              </w:rPr>
              <w:t>4.支撑项目发展的合作伙伴等外部资源的使用以及与项目关系的情况。</w:t>
            </w:r>
          </w:p>
        </w:tc>
        <w:tc>
          <w:tcPr>
            <w:tcW w:w="732" w:type="dxa"/>
            <w:tcBorders>
              <w:top w:val="nil"/>
              <w:left w:val="nil"/>
              <w:bottom w:val="single" w:color="000000" w:sz="8" w:space="0"/>
              <w:right w:val="single" w:color="000000" w:sz="8" w:space="0"/>
            </w:tcBorders>
            <w:shd w:val="clear" w:color="auto" w:fill="auto"/>
            <w:tcMar>
              <w:left w:w="28" w:type="dxa"/>
              <w:right w:w="28" w:type="dxa"/>
            </w:tcMar>
            <w:vAlign w:val="center"/>
          </w:tcPr>
          <w:p w14:paraId="74A77954">
            <w:pPr>
              <w:jc w:val="center"/>
              <w:rPr>
                <w:rFonts w:hint="eastAsia" w:ascii="等线" w:hAnsi="等线" w:eastAsia="等线" w:cs="等线"/>
                <w:sz w:val="24"/>
                <w:szCs w:val="24"/>
              </w:rPr>
            </w:pPr>
            <w:r>
              <w:rPr>
                <w:rFonts w:hint="eastAsia" w:hAnsi="仿宋_GB2312" w:cs="仿宋_GB2312"/>
                <w:b/>
                <w:bCs/>
              </w:rPr>
              <w:t>20</w:t>
            </w:r>
          </w:p>
        </w:tc>
      </w:tr>
      <w:tr w14:paraId="04932D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70" w:hRule="atLeast"/>
        </w:trPr>
        <w:tc>
          <w:tcPr>
            <w:tcW w:w="1184"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50AAB4C1">
            <w:pPr>
              <w:jc w:val="center"/>
              <w:rPr>
                <w:rFonts w:hint="eastAsia" w:ascii="等线" w:hAnsi="等线" w:eastAsia="等线" w:cs="等线"/>
                <w:sz w:val="24"/>
                <w:szCs w:val="24"/>
              </w:rPr>
            </w:pPr>
            <w:r>
              <w:rPr>
                <w:rFonts w:hint="eastAsia" w:hAnsi="仿宋_GB2312" w:cs="仿宋_GB2312"/>
              </w:rPr>
              <w:t>商业维度</w:t>
            </w:r>
          </w:p>
        </w:tc>
        <w:tc>
          <w:tcPr>
            <w:tcW w:w="6695" w:type="dxa"/>
            <w:tcBorders>
              <w:top w:val="nil"/>
              <w:left w:val="nil"/>
              <w:bottom w:val="single" w:color="000000" w:sz="8" w:space="0"/>
              <w:right w:val="single" w:color="000000" w:sz="8" w:space="0"/>
            </w:tcBorders>
            <w:shd w:val="clear" w:color="auto" w:fill="auto"/>
            <w:tcMar>
              <w:left w:w="28" w:type="dxa"/>
              <w:right w:w="28" w:type="dxa"/>
            </w:tcMar>
            <w:vAlign w:val="center"/>
          </w:tcPr>
          <w:p w14:paraId="2595D7FA">
            <w:pPr>
              <w:rPr>
                <w:rFonts w:hAnsi="仿宋_GB2312" w:cs="仿宋_GB2312"/>
                <w:spacing w:val="-2"/>
              </w:rPr>
            </w:pPr>
            <w:r>
              <w:rPr>
                <w:rFonts w:hint="eastAsia" w:hAnsi="仿宋_GB2312" w:cs="仿宋_GB2312"/>
                <w:spacing w:val="-2"/>
              </w:rPr>
              <w:t>1.充分了解所在产业（行业）的产业规模、增长速度、竞争格局、产业趋势、产业政策等情况，形成完备、深刻的产业认知。</w:t>
            </w:r>
          </w:p>
          <w:p w14:paraId="4DF018A3">
            <w:pPr>
              <w:rPr>
                <w:rFonts w:hAnsi="仿宋_GB2312" w:cs="仿宋_GB2312"/>
                <w:spacing w:val="-2"/>
              </w:rPr>
            </w:pPr>
            <w:r>
              <w:rPr>
                <w:rFonts w:hint="eastAsia" w:hAnsi="仿宋_GB2312" w:cs="仿宋_GB2312"/>
                <w:spacing w:val="-2"/>
              </w:rPr>
              <w:t>2.项目具有明确的目标市场定位，对目标市场的特征、需求等情况有清晰地了解，并据此制定合理的营销、运营、财务等计划，设计出完整、创新、可行的商业模式，展现团队的商业思维。</w:t>
            </w:r>
          </w:p>
          <w:p w14:paraId="01B27411">
            <w:pPr>
              <w:rPr>
                <w:rFonts w:hint="eastAsia" w:ascii="等线" w:hAnsi="等线" w:eastAsia="等线" w:cs="等线"/>
                <w:sz w:val="24"/>
                <w:szCs w:val="24"/>
              </w:rPr>
            </w:pPr>
            <w:r>
              <w:rPr>
                <w:rFonts w:hint="eastAsia" w:hAnsi="仿宋_GB2312" w:cs="仿宋_GB2312"/>
                <w:spacing w:val="-2"/>
              </w:rPr>
              <w:t>3.其他：项目落地执行情况；项目对促进区域经济发展、产业转型升级的情况；已有盈利能力或盈利潜力情况。</w:t>
            </w:r>
          </w:p>
        </w:tc>
        <w:tc>
          <w:tcPr>
            <w:tcW w:w="732" w:type="dxa"/>
            <w:tcBorders>
              <w:top w:val="nil"/>
              <w:left w:val="nil"/>
              <w:bottom w:val="single" w:color="000000" w:sz="8" w:space="0"/>
              <w:right w:val="single" w:color="000000" w:sz="8" w:space="0"/>
            </w:tcBorders>
            <w:shd w:val="clear" w:color="auto" w:fill="auto"/>
            <w:tcMar>
              <w:left w:w="28" w:type="dxa"/>
              <w:right w:w="28" w:type="dxa"/>
            </w:tcMar>
            <w:vAlign w:val="center"/>
          </w:tcPr>
          <w:p w14:paraId="7D28D655">
            <w:pPr>
              <w:jc w:val="center"/>
              <w:rPr>
                <w:rFonts w:hint="eastAsia" w:ascii="等线" w:hAnsi="等线" w:eastAsia="等线" w:cs="等线"/>
                <w:sz w:val="24"/>
                <w:szCs w:val="24"/>
              </w:rPr>
            </w:pPr>
            <w:r>
              <w:rPr>
                <w:rFonts w:hint="eastAsia" w:hAnsi="仿宋_GB2312" w:cs="仿宋_GB2312"/>
                <w:b/>
                <w:bCs/>
              </w:rPr>
              <w:t>20</w:t>
            </w:r>
          </w:p>
        </w:tc>
      </w:tr>
      <w:tr w14:paraId="0C988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1184"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447EC101">
            <w:pPr>
              <w:jc w:val="center"/>
              <w:rPr>
                <w:rFonts w:hint="eastAsia" w:ascii="等线" w:hAnsi="等线" w:eastAsia="等线" w:cs="等线"/>
                <w:sz w:val="24"/>
                <w:szCs w:val="24"/>
              </w:rPr>
            </w:pPr>
            <w:r>
              <w:rPr>
                <w:rFonts w:hint="eastAsia" w:hAnsi="仿宋_GB2312" w:cs="仿宋_GB2312"/>
              </w:rPr>
              <w:t>社会价值维度</w:t>
            </w:r>
          </w:p>
        </w:tc>
        <w:tc>
          <w:tcPr>
            <w:tcW w:w="6695" w:type="dxa"/>
            <w:tcBorders>
              <w:top w:val="nil"/>
              <w:left w:val="nil"/>
              <w:bottom w:val="single" w:color="000000" w:sz="8" w:space="0"/>
              <w:right w:val="single" w:color="000000" w:sz="8" w:space="0"/>
            </w:tcBorders>
            <w:shd w:val="clear" w:color="auto" w:fill="auto"/>
            <w:tcMar>
              <w:left w:w="28" w:type="dxa"/>
              <w:right w:w="28" w:type="dxa"/>
            </w:tcMar>
            <w:vAlign w:val="center"/>
          </w:tcPr>
          <w:p w14:paraId="081EFAFB">
            <w:pPr>
              <w:rPr>
                <w:rFonts w:hAnsi="仿宋_GB2312" w:cs="仿宋_GB2312"/>
                <w:spacing w:val="-2"/>
              </w:rPr>
            </w:pPr>
            <w:r>
              <w:rPr>
                <w:rFonts w:hint="eastAsia" w:hAnsi="仿宋_GB2312" w:cs="仿宋_GB2312"/>
                <w:spacing w:val="-2"/>
              </w:rPr>
              <w:t>1.项目直接提供就业岗位的数量和质量。</w:t>
            </w:r>
          </w:p>
          <w:p w14:paraId="7CC46754">
            <w:pPr>
              <w:rPr>
                <w:rFonts w:hAnsi="仿宋_GB2312" w:cs="仿宋_GB2312"/>
                <w:spacing w:val="-2"/>
              </w:rPr>
            </w:pPr>
            <w:r>
              <w:rPr>
                <w:rFonts w:hint="eastAsia" w:hAnsi="仿宋_GB2312" w:cs="仿宋_GB2312"/>
                <w:spacing w:val="-2"/>
              </w:rPr>
              <w:t>2.项目间接带动就业的能力和规模。</w:t>
            </w:r>
          </w:p>
          <w:p w14:paraId="5FE238E8">
            <w:pPr>
              <w:rPr>
                <w:rFonts w:hint="eastAsia" w:ascii="等线" w:hAnsi="等线" w:eastAsia="等线" w:cs="等线"/>
                <w:sz w:val="24"/>
                <w:szCs w:val="24"/>
              </w:rPr>
            </w:pPr>
            <w:r>
              <w:rPr>
                <w:rFonts w:hint="eastAsia" w:hAnsi="仿宋_GB2312" w:cs="仿宋_GB2312"/>
                <w:spacing w:val="-2"/>
              </w:rPr>
              <w:t>3.项目对社会文明、生态文明、民生福祉等方面的积极推动作用。</w:t>
            </w:r>
          </w:p>
        </w:tc>
        <w:tc>
          <w:tcPr>
            <w:tcW w:w="732" w:type="dxa"/>
            <w:tcBorders>
              <w:top w:val="nil"/>
              <w:left w:val="nil"/>
              <w:bottom w:val="single" w:color="000000" w:sz="8" w:space="0"/>
              <w:right w:val="single" w:color="000000" w:sz="8" w:space="0"/>
            </w:tcBorders>
            <w:shd w:val="clear" w:color="auto" w:fill="auto"/>
            <w:tcMar>
              <w:left w:w="28" w:type="dxa"/>
              <w:right w:w="28" w:type="dxa"/>
            </w:tcMar>
            <w:vAlign w:val="center"/>
          </w:tcPr>
          <w:p w14:paraId="744F6C77">
            <w:pPr>
              <w:jc w:val="center"/>
              <w:rPr>
                <w:rFonts w:hint="eastAsia" w:ascii="等线" w:hAnsi="等线" w:eastAsia="等线" w:cs="等线"/>
                <w:sz w:val="24"/>
                <w:szCs w:val="24"/>
              </w:rPr>
            </w:pPr>
            <w:r>
              <w:rPr>
                <w:rFonts w:hint="eastAsia" w:hAnsi="仿宋_GB2312" w:cs="仿宋_GB2312"/>
                <w:b/>
                <w:bCs/>
              </w:rPr>
              <w:t>10</w:t>
            </w:r>
          </w:p>
        </w:tc>
      </w:tr>
    </w:tbl>
    <w:p w14:paraId="13AFF2A7">
      <w:pPr>
        <w:pStyle w:val="9"/>
        <w:keepNext w:val="0"/>
        <w:keepLines w:val="0"/>
        <w:pageBreakBefore w:val="0"/>
        <w:kinsoku/>
        <w:wordWrap/>
        <w:overflowPunct/>
        <w:topLinePunct w:val="0"/>
        <w:autoSpaceDE/>
        <w:autoSpaceDN/>
        <w:bidi w:val="0"/>
        <w:adjustRightInd/>
        <w:snapToGrid/>
        <w:spacing w:line="336" w:lineRule="auto"/>
        <w:ind w:firstLine="643"/>
        <w:jc w:val="center"/>
        <w:textAlignment w:val="auto"/>
        <w:rPr>
          <w:rFonts w:ascii="黑体" w:hAnsi="宋体" w:eastAsia="黑体" w:cs="黑体"/>
          <w:i w:val="0"/>
          <w:iCs w:val="0"/>
          <w:caps w:val="0"/>
          <w:color w:val="333333"/>
          <w:spacing w:val="-4"/>
          <w:sz w:val="24"/>
          <w:szCs w:val="24"/>
        </w:rPr>
      </w:pPr>
    </w:p>
    <w:p w14:paraId="4EC709B8">
      <w:pPr>
        <w:pStyle w:val="9"/>
        <w:keepNext w:val="0"/>
        <w:keepLines w:val="0"/>
        <w:pageBreakBefore w:val="0"/>
        <w:kinsoku/>
        <w:wordWrap/>
        <w:overflowPunct/>
        <w:topLinePunct w:val="0"/>
        <w:autoSpaceDE/>
        <w:autoSpaceDN/>
        <w:bidi w:val="0"/>
        <w:adjustRightInd/>
        <w:snapToGrid/>
        <w:spacing w:line="336" w:lineRule="auto"/>
        <w:ind w:firstLine="643"/>
        <w:jc w:val="center"/>
        <w:textAlignment w:val="auto"/>
        <w:rPr>
          <w:rFonts w:ascii="黑体" w:hAnsi="宋体" w:eastAsia="黑体" w:cs="黑体"/>
          <w:i w:val="0"/>
          <w:iCs w:val="0"/>
          <w:caps w:val="0"/>
          <w:color w:val="333333"/>
          <w:spacing w:val="-4"/>
          <w:sz w:val="24"/>
          <w:szCs w:val="24"/>
        </w:rPr>
      </w:pPr>
    </w:p>
    <w:p w14:paraId="0BDA95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7"/>
        <w:jc w:val="both"/>
        <w:textAlignment w:val="auto"/>
        <w:rPr>
          <w:rFonts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4"/>
          <w:sz w:val="24"/>
          <w:szCs w:val="24"/>
        </w:rPr>
        <w:t>赛项二：创业组</w:t>
      </w:r>
    </w:p>
    <w:p w14:paraId="1FBA7C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参赛项目在</w:t>
      </w:r>
      <w:r>
        <w:rPr>
          <w:rFonts w:hint="default" w:ascii="Times New Roman" w:hAnsi="Times New Roman" w:eastAsia="仿宋" w:cs="Times New Roman"/>
          <w:i w:val="0"/>
          <w:iCs w:val="0"/>
          <w:caps w:val="0"/>
          <w:color w:val="333333"/>
          <w:spacing w:val="-4"/>
          <w:sz w:val="24"/>
          <w:szCs w:val="24"/>
        </w:rPr>
        <w:t>202</w:t>
      </w:r>
      <w:r>
        <w:rPr>
          <w:rFonts w:hint="eastAsia" w:ascii="Times New Roman" w:eastAsia="仿宋" w:cs="Times New Roman"/>
          <w:i w:val="0"/>
          <w:iCs w:val="0"/>
          <w:caps w:val="0"/>
          <w:color w:val="333333"/>
          <w:spacing w:val="-4"/>
          <w:sz w:val="24"/>
          <w:szCs w:val="24"/>
          <w:lang w:val="en-US" w:eastAsia="zh-CN"/>
        </w:rPr>
        <w:t>6</w:t>
      </w:r>
      <w:r>
        <w:rPr>
          <w:rFonts w:hint="eastAsia" w:ascii="仿宋" w:hAnsi="仿宋" w:eastAsia="仿宋" w:cs="仿宋"/>
          <w:i w:val="0"/>
          <w:iCs w:val="0"/>
          <w:caps w:val="0"/>
          <w:color w:val="333333"/>
          <w:spacing w:val="-4"/>
          <w:sz w:val="24"/>
          <w:szCs w:val="24"/>
        </w:rPr>
        <w:t>年</w:t>
      </w:r>
      <w:r>
        <w:rPr>
          <w:rFonts w:hint="default" w:ascii="Times New Roman" w:hAnsi="Times New Roman" w:eastAsia="仿宋" w:cs="Times New Roman"/>
          <w:i w:val="0"/>
          <w:iCs w:val="0"/>
          <w:caps w:val="0"/>
          <w:color w:val="333333"/>
          <w:spacing w:val="-4"/>
          <w:sz w:val="24"/>
          <w:szCs w:val="24"/>
        </w:rPr>
        <w:t>4</w:t>
      </w:r>
      <w:r>
        <w:rPr>
          <w:rFonts w:hint="eastAsia" w:ascii="仿宋" w:hAnsi="仿宋" w:eastAsia="仿宋" w:cs="仿宋"/>
          <w:i w:val="0"/>
          <w:iCs w:val="0"/>
          <w:caps w:val="0"/>
          <w:color w:val="333333"/>
          <w:spacing w:val="-4"/>
          <w:sz w:val="24"/>
          <w:szCs w:val="24"/>
        </w:rPr>
        <w:t>月</w:t>
      </w:r>
      <w:r>
        <w:rPr>
          <w:rFonts w:hint="default" w:ascii="Times New Roman" w:hAnsi="Times New Roman" w:eastAsia="仿宋" w:cs="Times New Roman"/>
          <w:i w:val="0"/>
          <w:iCs w:val="0"/>
          <w:caps w:val="0"/>
          <w:color w:val="333333"/>
          <w:spacing w:val="-4"/>
          <w:sz w:val="24"/>
          <w:szCs w:val="24"/>
        </w:rPr>
        <w:t>1</w:t>
      </w:r>
      <w:r>
        <w:rPr>
          <w:rFonts w:hint="eastAsia" w:ascii="Times New Roman" w:eastAsia="仿宋" w:cs="Times New Roman"/>
          <w:i w:val="0"/>
          <w:iCs w:val="0"/>
          <w:caps w:val="0"/>
          <w:color w:val="333333"/>
          <w:spacing w:val="-4"/>
          <w:sz w:val="24"/>
          <w:szCs w:val="24"/>
          <w:lang w:val="en-US" w:eastAsia="zh-CN"/>
        </w:rPr>
        <w:t>0</w:t>
      </w:r>
      <w:r>
        <w:rPr>
          <w:rFonts w:hint="eastAsia" w:ascii="仿宋" w:hAnsi="仿宋" w:eastAsia="仿宋" w:cs="仿宋"/>
          <w:i w:val="0"/>
          <w:iCs w:val="0"/>
          <w:caps w:val="0"/>
          <w:color w:val="333333"/>
          <w:spacing w:val="-4"/>
          <w:sz w:val="24"/>
          <w:szCs w:val="24"/>
        </w:rPr>
        <w:t>日前已完成工商登记注册，且公司注册年限不超过</w:t>
      </w:r>
      <w:r>
        <w:rPr>
          <w:rFonts w:hint="default" w:ascii="Times New Roman" w:hAnsi="Times New Roman" w:eastAsia="仿宋" w:cs="Times New Roman"/>
          <w:i w:val="0"/>
          <w:iCs w:val="0"/>
          <w:caps w:val="0"/>
          <w:color w:val="333333"/>
          <w:spacing w:val="-4"/>
          <w:sz w:val="24"/>
          <w:szCs w:val="24"/>
        </w:rPr>
        <w:t>5</w:t>
      </w:r>
      <w:r>
        <w:rPr>
          <w:rFonts w:hint="eastAsia" w:ascii="仿宋" w:hAnsi="仿宋" w:eastAsia="仿宋" w:cs="仿宋"/>
          <w:i w:val="0"/>
          <w:iCs w:val="0"/>
          <w:caps w:val="0"/>
          <w:color w:val="333333"/>
          <w:spacing w:val="-4"/>
          <w:sz w:val="24"/>
          <w:szCs w:val="24"/>
        </w:rPr>
        <w:t>年（</w:t>
      </w:r>
      <w:r>
        <w:rPr>
          <w:rFonts w:hint="default" w:ascii="Times New Roman" w:hAnsi="Times New Roman" w:eastAsia="仿宋" w:cs="Times New Roman"/>
          <w:i w:val="0"/>
          <w:iCs w:val="0"/>
          <w:caps w:val="0"/>
          <w:color w:val="333333"/>
          <w:spacing w:val="-4"/>
          <w:sz w:val="24"/>
          <w:szCs w:val="24"/>
        </w:rPr>
        <w:t>20</w:t>
      </w:r>
      <w:r>
        <w:rPr>
          <w:rFonts w:hint="eastAsia" w:ascii="Times New Roman" w:eastAsia="仿宋" w:cs="Times New Roman"/>
          <w:i w:val="0"/>
          <w:iCs w:val="0"/>
          <w:caps w:val="0"/>
          <w:color w:val="333333"/>
          <w:spacing w:val="-4"/>
          <w:sz w:val="24"/>
          <w:szCs w:val="24"/>
          <w:lang w:val="en-US" w:eastAsia="zh-CN"/>
        </w:rPr>
        <w:t>21</w:t>
      </w:r>
      <w:r>
        <w:rPr>
          <w:rFonts w:hint="eastAsia" w:ascii="仿宋" w:hAnsi="仿宋" w:eastAsia="仿宋" w:cs="仿宋"/>
          <w:i w:val="0"/>
          <w:iCs w:val="0"/>
          <w:caps w:val="0"/>
          <w:color w:val="333333"/>
          <w:spacing w:val="-4"/>
          <w:sz w:val="24"/>
          <w:szCs w:val="24"/>
        </w:rPr>
        <w:t>年</w:t>
      </w:r>
      <w:r>
        <w:rPr>
          <w:rFonts w:hint="default" w:ascii="Times New Roman" w:hAnsi="Times New Roman" w:eastAsia="仿宋" w:cs="Times New Roman"/>
          <w:i w:val="0"/>
          <w:iCs w:val="0"/>
          <w:caps w:val="0"/>
          <w:color w:val="333333"/>
          <w:spacing w:val="-4"/>
          <w:sz w:val="24"/>
          <w:szCs w:val="24"/>
        </w:rPr>
        <w:t>4</w:t>
      </w:r>
      <w:r>
        <w:rPr>
          <w:rFonts w:hint="eastAsia" w:ascii="仿宋" w:hAnsi="仿宋" w:eastAsia="仿宋" w:cs="仿宋"/>
          <w:i w:val="0"/>
          <w:iCs w:val="0"/>
          <w:caps w:val="0"/>
          <w:color w:val="333333"/>
          <w:spacing w:val="-4"/>
          <w:sz w:val="24"/>
          <w:szCs w:val="24"/>
        </w:rPr>
        <w:t>月</w:t>
      </w:r>
      <w:r>
        <w:rPr>
          <w:rFonts w:hint="default" w:ascii="Times New Roman" w:hAnsi="Times New Roman" w:eastAsia="仿宋" w:cs="Times New Roman"/>
          <w:i w:val="0"/>
          <w:iCs w:val="0"/>
          <w:caps w:val="0"/>
          <w:color w:val="333333"/>
          <w:spacing w:val="-4"/>
          <w:sz w:val="24"/>
          <w:szCs w:val="24"/>
        </w:rPr>
        <w:t>1</w:t>
      </w:r>
      <w:r>
        <w:rPr>
          <w:rFonts w:hint="eastAsia" w:ascii="Times New Roman" w:eastAsia="仿宋" w:cs="Times New Roman"/>
          <w:i w:val="0"/>
          <w:iCs w:val="0"/>
          <w:caps w:val="0"/>
          <w:color w:val="333333"/>
          <w:spacing w:val="-4"/>
          <w:sz w:val="24"/>
          <w:szCs w:val="24"/>
          <w:lang w:val="en-US" w:eastAsia="zh-CN"/>
        </w:rPr>
        <w:t>0</w:t>
      </w:r>
      <w:r>
        <w:rPr>
          <w:rFonts w:hint="eastAsia" w:ascii="仿宋" w:hAnsi="仿宋" w:eastAsia="仿宋" w:cs="仿宋"/>
          <w:i w:val="0"/>
          <w:iCs w:val="0"/>
          <w:caps w:val="0"/>
          <w:color w:val="333333"/>
          <w:spacing w:val="-4"/>
          <w:sz w:val="24"/>
          <w:szCs w:val="24"/>
        </w:rPr>
        <w:t>日后注册）。参赛申报人须为企业法人代表，参赛对象须为校学生或毕业</w:t>
      </w:r>
      <w:r>
        <w:rPr>
          <w:rFonts w:hint="default" w:ascii="Times New Roman" w:hAnsi="Times New Roman" w:eastAsia="仿宋" w:cs="Times New Roman"/>
          <w:i w:val="0"/>
          <w:iCs w:val="0"/>
          <w:caps w:val="0"/>
          <w:color w:val="333333"/>
          <w:spacing w:val="-4"/>
          <w:sz w:val="24"/>
          <w:szCs w:val="24"/>
        </w:rPr>
        <w:t>5</w:t>
      </w:r>
      <w:r>
        <w:rPr>
          <w:rFonts w:hint="eastAsia" w:ascii="仿宋" w:hAnsi="仿宋" w:eastAsia="仿宋" w:cs="仿宋"/>
          <w:i w:val="0"/>
          <w:iCs w:val="0"/>
          <w:caps w:val="0"/>
          <w:color w:val="333333"/>
          <w:spacing w:val="-4"/>
          <w:sz w:val="24"/>
          <w:szCs w:val="24"/>
        </w:rPr>
        <w:t>年内的毕业生。企业法人在</w:t>
      </w:r>
      <w:r>
        <w:rPr>
          <w:rFonts w:hint="default" w:ascii="Times New Roman" w:hAnsi="Times New Roman" w:eastAsia="仿宋" w:cs="Times New Roman"/>
          <w:i w:val="0"/>
          <w:iCs w:val="0"/>
          <w:caps w:val="0"/>
          <w:color w:val="333333"/>
          <w:spacing w:val="-4"/>
          <w:sz w:val="24"/>
          <w:szCs w:val="24"/>
        </w:rPr>
        <w:t>202</w:t>
      </w:r>
      <w:r>
        <w:rPr>
          <w:rFonts w:hint="eastAsia" w:ascii="Times New Roman" w:eastAsia="仿宋" w:cs="Times New Roman"/>
          <w:i w:val="0"/>
          <w:iCs w:val="0"/>
          <w:caps w:val="0"/>
          <w:color w:val="333333"/>
          <w:spacing w:val="-4"/>
          <w:sz w:val="24"/>
          <w:szCs w:val="24"/>
          <w:lang w:val="en-US" w:eastAsia="zh-CN"/>
        </w:rPr>
        <w:t>6</w:t>
      </w:r>
      <w:r>
        <w:rPr>
          <w:rFonts w:hint="eastAsia" w:ascii="仿宋" w:hAnsi="仿宋" w:eastAsia="仿宋" w:cs="仿宋"/>
          <w:i w:val="0"/>
          <w:iCs w:val="0"/>
          <w:caps w:val="0"/>
          <w:color w:val="333333"/>
          <w:spacing w:val="-4"/>
          <w:sz w:val="24"/>
          <w:szCs w:val="24"/>
        </w:rPr>
        <w:t>年</w:t>
      </w:r>
      <w:r>
        <w:rPr>
          <w:rFonts w:hint="default" w:ascii="Times New Roman" w:hAnsi="Times New Roman" w:eastAsia="仿宋" w:cs="Times New Roman"/>
          <w:i w:val="0"/>
          <w:iCs w:val="0"/>
          <w:caps w:val="0"/>
          <w:color w:val="333333"/>
          <w:spacing w:val="-4"/>
          <w:sz w:val="24"/>
          <w:szCs w:val="24"/>
        </w:rPr>
        <w:t>4</w:t>
      </w:r>
      <w:r>
        <w:rPr>
          <w:rFonts w:hint="eastAsia" w:ascii="仿宋" w:hAnsi="仿宋" w:eastAsia="仿宋" w:cs="仿宋"/>
          <w:i w:val="0"/>
          <w:iCs w:val="0"/>
          <w:caps w:val="0"/>
          <w:color w:val="333333"/>
          <w:spacing w:val="-4"/>
          <w:sz w:val="24"/>
          <w:szCs w:val="24"/>
        </w:rPr>
        <w:t>月</w:t>
      </w:r>
      <w:r>
        <w:rPr>
          <w:rFonts w:hint="default" w:ascii="Times New Roman" w:hAnsi="Times New Roman" w:eastAsia="仿宋" w:cs="Times New Roman"/>
          <w:i w:val="0"/>
          <w:iCs w:val="0"/>
          <w:caps w:val="0"/>
          <w:color w:val="333333"/>
          <w:spacing w:val="-4"/>
          <w:sz w:val="24"/>
          <w:szCs w:val="24"/>
        </w:rPr>
        <w:t>1</w:t>
      </w:r>
      <w:r>
        <w:rPr>
          <w:rFonts w:hint="eastAsia" w:ascii="仿宋" w:hAnsi="仿宋" w:eastAsia="仿宋" w:cs="仿宋"/>
          <w:i w:val="0"/>
          <w:iCs w:val="0"/>
          <w:caps w:val="0"/>
          <w:color w:val="333333"/>
          <w:spacing w:val="-4"/>
          <w:sz w:val="24"/>
          <w:szCs w:val="24"/>
        </w:rPr>
        <w:t>日后进行变更的不予认可。已完成工商登记注册参赛项目的股权结构中，企业法人代表的股权不得少于</w:t>
      </w:r>
      <w:r>
        <w:rPr>
          <w:rFonts w:hint="default" w:ascii="Times New Roman" w:hAnsi="Times New Roman" w:eastAsia="仿宋" w:cs="Times New Roman"/>
          <w:i w:val="0"/>
          <w:iCs w:val="0"/>
          <w:caps w:val="0"/>
          <w:color w:val="333333"/>
          <w:spacing w:val="-4"/>
          <w:sz w:val="24"/>
          <w:szCs w:val="24"/>
        </w:rPr>
        <w:t>1/3</w:t>
      </w:r>
      <w:r>
        <w:rPr>
          <w:rFonts w:hint="eastAsia" w:ascii="仿宋" w:hAnsi="仿宋" w:eastAsia="仿宋" w:cs="仿宋"/>
          <w:i w:val="0"/>
          <w:iCs w:val="0"/>
          <w:caps w:val="0"/>
          <w:color w:val="333333"/>
          <w:spacing w:val="-4"/>
          <w:sz w:val="24"/>
          <w:szCs w:val="24"/>
        </w:rPr>
        <w:t>，参赛团队成员股权合计不得少于</w:t>
      </w:r>
      <w:r>
        <w:rPr>
          <w:rFonts w:hint="default" w:ascii="Times New Roman" w:hAnsi="Times New Roman" w:eastAsia="仿宋" w:cs="Times New Roman"/>
          <w:i w:val="0"/>
          <w:iCs w:val="0"/>
          <w:caps w:val="0"/>
          <w:color w:val="333333"/>
          <w:spacing w:val="-4"/>
          <w:sz w:val="24"/>
          <w:szCs w:val="24"/>
        </w:rPr>
        <w:t>51%</w:t>
      </w:r>
      <w:r>
        <w:rPr>
          <w:rFonts w:hint="eastAsia" w:ascii="仿宋" w:hAnsi="仿宋" w:eastAsia="仿宋" w:cs="仿宋"/>
          <w:i w:val="0"/>
          <w:iCs w:val="0"/>
          <w:caps w:val="0"/>
          <w:color w:val="333333"/>
          <w:spacing w:val="-4"/>
          <w:sz w:val="24"/>
          <w:szCs w:val="24"/>
        </w:rPr>
        <w:t>。</w:t>
      </w:r>
    </w:p>
    <w:p w14:paraId="404FB4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参赛项目以团队为单位报名参赛</w:t>
      </w:r>
      <w:r>
        <w:rPr>
          <w:rFonts w:hint="eastAsia" w:ascii="仿宋" w:hAnsi="仿宋" w:eastAsia="仿宋" w:cs="仿宋"/>
          <w:i w:val="0"/>
          <w:iCs w:val="0"/>
          <w:caps w:val="0"/>
          <w:color w:val="333333"/>
          <w:spacing w:val="-4"/>
          <w:sz w:val="24"/>
          <w:szCs w:val="24"/>
          <w:lang w:eastAsia="zh-CN"/>
        </w:rPr>
        <w:t>，</w:t>
      </w:r>
      <w:r>
        <w:rPr>
          <w:rFonts w:hint="eastAsia" w:ascii="仿宋" w:hAnsi="仿宋" w:eastAsia="仿宋" w:cs="仿宋"/>
          <w:i w:val="0"/>
          <w:iCs w:val="0"/>
          <w:caps w:val="0"/>
          <w:color w:val="333333"/>
          <w:spacing w:val="-4"/>
          <w:sz w:val="24"/>
          <w:szCs w:val="24"/>
        </w:rPr>
        <w:t>每个团队的参赛成员（实际核心成员）不少于</w:t>
      </w:r>
      <w:r>
        <w:rPr>
          <w:rFonts w:hint="default" w:ascii="Times New Roman" w:hAnsi="Times New Roman" w:eastAsia="仿宋" w:cs="Times New Roman"/>
          <w:i w:val="0"/>
          <w:iCs w:val="0"/>
          <w:caps w:val="0"/>
          <w:color w:val="333333"/>
          <w:spacing w:val="-4"/>
          <w:sz w:val="24"/>
          <w:szCs w:val="24"/>
        </w:rPr>
        <w:t>3</w:t>
      </w:r>
      <w:r>
        <w:rPr>
          <w:rFonts w:hint="eastAsia" w:ascii="仿宋" w:hAnsi="仿宋" w:eastAsia="仿宋" w:cs="仿宋"/>
          <w:i w:val="0"/>
          <w:iCs w:val="0"/>
          <w:caps w:val="0"/>
          <w:color w:val="333333"/>
          <w:spacing w:val="-4"/>
          <w:sz w:val="24"/>
          <w:szCs w:val="24"/>
        </w:rPr>
        <w:t>人，不多于</w:t>
      </w:r>
      <w:r>
        <w:rPr>
          <w:rFonts w:hint="default" w:ascii="Times New Roman" w:hAnsi="Times New Roman" w:eastAsia="仿宋" w:cs="Times New Roman"/>
          <w:i w:val="0"/>
          <w:iCs w:val="0"/>
          <w:caps w:val="0"/>
          <w:color w:val="333333"/>
          <w:spacing w:val="-4"/>
          <w:sz w:val="24"/>
          <w:szCs w:val="24"/>
        </w:rPr>
        <w:t>15</w:t>
      </w:r>
      <w:r>
        <w:rPr>
          <w:rFonts w:hint="eastAsia" w:ascii="仿宋" w:hAnsi="仿宋" w:eastAsia="仿宋" w:cs="仿宋"/>
          <w:i w:val="0"/>
          <w:iCs w:val="0"/>
          <w:caps w:val="0"/>
          <w:color w:val="333333"/>
          <w:spacing w:val="-4"/>
          <w:sz w:val="24"/>
          <w:szCs w:val="24"/>
        </w:rPr>
        <w:t>人（含团队负责人），指导教师不超过</w:t>
      </w:r>
      <w:r>
        <w:rPr>
          <w:rFonts w:hint="eastAsia" w:ascii="Times New Roman" w:eastAsia="仿宋" w:cs="Times New Roman"/>
          <w:i w:val="0"/>
          <w:iCs w:val="0"/>
          <w:caps w:val="0"/>
          <w:color w:val="333333"/>
          <w:spacing w:val="-4"/>
          <w:sz w:val="24"/>
          <w:szCs w:val="24"/>
          <w:lang w:val="en-US" w:eastAsia="zh-CN"/>
        </w:rPr>
        <w:t>2</w:t>
      </w:r>
      <w:r>
        <w:rPr>
          <w:rFonts w:hint="eastAsia" w:ascii="仿宋" w:hAnsi="仿宋" w:eastAsia="仿宋" w:cs="仿宋"/>
          <w:i w:val="0"/>
          <w:iCs w:val="0"/>
          <w:caps w:val="0"/>
          <w:color w:val="333333"/>
          <w:spacing w:val="-4"/>
          <w:sz w:val="24"/>
          <w:szCs w:val="24"/>
        </w:rPr>
        <w:t>人。参赛团队所报参赛项目，须为本团队策划或经营的项目，不可借用他人项目参赛。</w:t>
      </w:r>
    </w:p>
    <w:p w14:paraId="4F0ABA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该项目以经营状况、发展前景、营销策略、财务管理等作为参赛项目的主要评价内容；重点考察参赛项目的运营实绩和参赛选手的创业能力。竞赛由创业项目报告书和现场陈述答辩两部分构成。</w:t>
      </w:r>
    </w:p>
    <w:p w14:paraId="27FF44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创业赛项分两个阶段，第一阶段由评委对创业项目报告书</w:t>
      </w:r>
      <w:r>
        <w:rPr>
          <w:rFonts w:hint="eastAsia" w:ascii="仿宋" w:hAnsi="仿宋" w:eastAsia="仿宋" w:cs="仿宋"/>
          <w:i w:val="0"/>
          <w:iCs w:val="0"/>
          <w:caps w:val="0"/>
          <w:color w:val="333333"/>
          <w:spacing w:val="-4"/>
          <w:sz w:val="24"/>
          <w:szCs w:val="24"/>
          <w:lang w:val="en-US" w:eastAsia="zh-CN"/>
        </w:rPr>
        <w:t>及现场汇报进行</w:t>
      </w:r>
      <w:r>
        <w:rPr>
          <w:rFonts w:hint="eastAsia" w:ascii="仿宋" w:hAnsi="仿宋" w:eastAsia="仿宋" w:cs="仿宋"/>
          <w:i w:val="0"/>
          <w:iCs w:val="0"/>
          <w:caps w:val="0"/>
          <w:color w:val="333333"/>
          <w:spacing w:val="-4"/>
          <w:sz w:val="24"/>
          <w:szCs w:val="24"/>
        </w:rPr>
        <w:t>评审，确定晋级决赛项目。第二阶段开展网络或现场展示。晋级决赛项目评审时，创业项目报告书（满分</w:t>
      </w:r>
      <w:r>
        <w:rPr>
          <w:rFonts w:hint="default" w:ascii="Times New Roman" w:hAnsi="Times New Roman" w:eastAsia="仿宋" w:cs="Times New Roman"/>
          <w:i w:val="0"/>
          <w:iCs w:val="0"/>
          <w:caps w:val="0"/>
          <w:color w:val="333333"/>
          <w:spacing w:val="-4"/>
          <w:sz w:val="24"/>
          <w:szCs w:val="24"/>
        </w:rPr>
        <w:t>100</w:t>
      </w:r>
      <w:r>
        <w:rPr>
          <w:rFonts w:hint="eastAsia" w:ascii="仿宋" w:hAnsi="仿宋" w:eastAsia="仿宋" w:cs="仿宋"/>
          <w:i w:val="0"/>
          <w:iCs w:val="0"/>
          <w:caps w:val="0"/>
          <w:color w:val="333333"/>
          <w:spacing w:val="-4"/>
          <w:sz w:val="24"/>
          <w:szCs w:val="24"/>
        </w:rPr>
        <w:t>分）占总成绩的</w:t>
      </w:r>
      <w:r>
        <w:rPr>
          <w:rFonts w:hint="default" w:ascii="Times New Roman" w:hAnsi="Times New Roman" w:eastAsia="仿宋" w:cs="Times New Roman"/>
          <w:i w:val="0"/>
          <w:iCs w:val="0"/>
          <w:caps w:val="0"/>
          <w:color w:val="333333"/>
          <w:spacing w:val="-4"/>
          <w:sz w:val="24"/>
          <w:szCs w:val="24"/>
        </w:rPr>
        <w:t>30%</w:t>
      </w:r>
      <w:r>
        <w:rPr>
          <w:rFonts w:hint="eastAsia" w:ascii="仿宋" w:hAnsi="仿宋" w:eastAsia="仿宋" w:cs="仿宋"/>
          <w:i w:val="0"/>
          <w:iCs w:val="0"/>
          <w:caps w:val="0"/>
          <w:color w:val="333333"/>
          <w:spacing w:val="-4"/>
          <w:sz w:val="24"/>
          <w:szCs w:val="24"/>
        </w:rPr>
        <w:t>；现场陈述答辩（满分</w:t>
      </w:r>
      <w:r>
        <w:rPr>
          <w:rFonts w:hint="default" w:ascii="Times New Roman" w:hAnsi="Times New Roman" w:eastAsia="仿宋" w:cs="Times New Roman"/>
          <w:i w:val="0"/>
          <w:iCs w:val="0"/>
          <w:caps w:val="0"/>
          <w:color w:val="333333"/>
          <w:spacing w:val="-4"/>
          <w:sz w:val="24"/>
          <w:szCs w:val="24"/>
        </w:rPr>
        <w:t>100</w:t>
      </w:r>
      <w:r>
        <w:rPr>
          <w:rFonts w:hint="eastAsia" w:ascii="仿宋" w:hAnsi="仿宋" w:eastAsia="仿宋" w:cs="仿宋"/>
          <w:i w:val="0"/>
          <w:iCs w:val="0"/>
          <w:caps w:val="0"/>
          <w:color w:val="333333"/>
          <w:spacing w:val="-4"/>
          <w:sz w:val="24"/>
          <w:szCs w:val="24"/>
        </w:rPr>
        <w:t>分）占总成绩的</w:t>
      </w:r>
      <w:r>
        <w:rPr>
          <w:rFonts w:hint="default" w:ascii="Times New Roman" w:hAnsi="Times New Roman" w:eastAsia="仿宋" w:cs="Times New Roman"/>
          <w:i w:val="0"/>
          <w:iCs w:val="0"/>
          <w:caps w:val="0"/>
          <w:color w:val="333333"/>
          <w:spacing w:val="-4"/>
          <w:sz w:val="24"/>
          <w:szCs w:val="24"/>
        </w:rPr>
        <w:t>70%</w:t>
      </w:r>
      <w:r>
        <w:rPr>
          <w:rFonts w:hint="eastAsia" w:ascii="仿宋" w:hAnsi="仿宋" w:eastAsia="仿宋" w:cs="仿宋"/>
          <w:i w:val="0"/>
          <w:iCs w:val="0"/>
          <w:caps w:val="0"/>
          <w:color w:val="333333"/>
          <w:spacing w:val="-4"/>
          <w:sz w:val="24"/>
          <w:szCs w:val="24"/>
        </w:rPr>
        <w:t>。</w:t>
      </w:r>
    </w:p>
    <w:p w14:paraId="06001B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1.创业项目报告书。创业项目报告书应内容完整、条理清晰、重点突出、力求简洁，相关数据真实、准确，能将运营项目有效展现。要点如下：</w:t>
      </w:r>
    </w:p>
    <w:p w14:paraId="430A9F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（1）项目概述。能简明扼要介绍公司产品或服务、竞争优势、盈利模式、投资收益及未来展望等内容。</w:t>
      </w:r>
    </w:p>
    <w:p w14:paraId="36F975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（2）产品（服务）介绍。能准确定义产品的概念、功能及特性，分析产品的创新性和市场竞争力及产品的市场前景预测等。</w:t>
      </w:r>
    </w:p>
    <w:p w14:paraId="56E93A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（3）市场调查和运营情况分析。能在深入的市场调查基础上，分析项目面对的市场现状、竞争状况、目标市场、市场容量、发展趋势和潜力等。要求提供的数据真实有效、分析方法科学合理。</w:t>
      </w:r>
    </w:p>
    <w:p w14:paraId="59AF55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4）公司战略。能结合竞争优势分阶段制定项目的发展计划与目标，说明项目发展方向。重点考察项目目标市场容量大小及可扩展性，是否有合适的计划和可靠资源（人力资源、资金、技术等方面）支持其未来持续快速成长。</w:t>
      </w:r>
    </w:p>
    <w:p w14:paraId="4463D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5）营销策略。能根据项目特点，制定恰当的价格策略，构建合理的营销渠道，提出有吸引力的推广策略等，确保顺利进入市场，并保持和提高市场占有率。商业模式设计完整、可行，产品或者服务成熟度及市场认可度，已获外部投资情况。</w:t>
      </w:r>
    </w:p>
    <w:p w14:paraId="4A0F8B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6）经营管理。能高效组织生产或服务，人员配备合理，管理制度健全，措施得力。重点考察项目存续时间、营业收入、企业利润、持续盈利能力、市场份额、客户（用户）情况、税收上缴、投入与产出比等情况。</w:t>
      </w:r>
    </w:p>
    <w:p w14:paraId="3B2B4B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7）团队管理。团队成员的教育和工作背景、创新思想、价值观念、分工协作和能力互补情况，重点考察成员的投入程度。公司的组织构架、股权结构、人员配置以及激励制度合理。项目对创业顾问、投资人以及战略合作伙伴等外部资源的整合能力。</w:t>
      </w:r>
    </w:p>
    <w:p w14:paraId="426FBC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8）融资与财务分析。能合理确定资金结构和规模，资金的取得与运用经济合理，财务报表齐全，项目盈利能力分析准确可信。关注维持企业正常经营的现金流情况，以及企业融资需求及资金使用规划是否合理。</w:t>
      </w:r>
    </w:p>
    <w:p w14:paraId="5FF80C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（9）风险及应对策略。能客观分析项目可能面临的技术、市场、财务等方面的风险问题，提出合理可行的规避计划。</w:t>
      </w:r>
    </w:p>
    <w:p w14:paraId="4E8844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（10）社会责任。能体现企业在经营中合法经营、诚实守信，确立可持续发展的理念，反映企业积极参与公益活动，具有一定的社会责任感和创业带动就业的能力。</w:t>
      </w:r>
    </w:p>
    <w:p w14:paraId="5D7AE5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2.现场陈述答辩。由参赛团队负责人对创业项目进行现场展示陈述、答辩。陈述需结合PPT和创业项目运营展示介绍视频（时长不超过一分钟，视频格式H.264MP4，画面流畅，声音清晰，大小不超过20M。片头注明报送学校、企业名称、负责人姓名。展示视频在省级决赛前不作硬性要求，根据团队实际情况考虑是否提交）。</w:t>
      </w:r>
      <w:r>
        <w:rPr>
          <w:rFonts w:hint="eastAsia" w:ascii="仿宋" w:hAnsi="仿宋" w:eastAsia="仿宋" w:cs="仿宋"/>
          <w:i w:val="0"/>
          <w:iCs w:val="0"/>
          <w:caps w:val="0"/>
          <w:color w:val="0000FF"/>
          <w:spacing w:val="-4"/>
          <w:sz w:val="24"/>
          <w:szCs w:val="24"/>
        </w:rPr>
        <w:t>陈述时间不超过7分钟（含视频播放时间），评委提问及选手回答时间不超过5分钟</w:t>
      </w:r>
      <w:r>
        <w:rPr>
          <w:rFonts w:hint="eastAsia" w:ascii="仿宋" w:hAnsi="仿宋" w:eastAsia="仿宋" w:cs="仿宋"/>
          <w:i w:val="0"/>
          <w:iCs w:val="0"/>
          <w:caps w:val="0"/>
          <w:color w:val="333333"/>
          <w:spacing w:val="-4"/>
          <w:sz w:val="24"/>
          <w:szCs w:val="24"/>
        </w:rPr>
        <w:t>。要点如下：</w:t>
      </w:r>
    </w:p>
    <w:p w14:paraId="6F52DC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1）创业项目陈述。能围绕创业动机、产品与服务、市场分析、营销策略、经营成果、发展前景、创新发展、带动就业等内容，有力论证项目的成长性和创新性。项目展示介绍视频构思清晰，主题明确，能如实反映创业实践项目运行情况，选取的工作场景真实且具有代表性，能有效反映创业项目有关业务流程和操作规范。</w:t>
      </w:r>
    </w:p>
    <w:p w14:paraId="7BB135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（2）问题回答。能正确理解评委的问题，阐述和回答问题的思路清晰、逻辑严密，数据翔实、应答流畅。</w:t>
      </w:r>
    </w:p>
    <w:p w14:paraId="6274F0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（3）整体表现。参赛人员精神饱满，衣着得体，较好展示职校创业者的自信与活力。</w:t>
      </w:r>
    </w:p>
    <w:p w14:paraId="7E112D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36" w:lineRule="auto"/>
        <w:ind w:left="0" w:right="0" w:firstLine="0"/>
        <w:jc w:val="center"/>
        <w:textAlignment w:val="auto"/>
        <w:rPr>
          <w:rFonts w:ascii="黑体" w:hAnsi="宋体" w:eastAsia="黑体" w:cs="黑体"/>
          <w:i w:val="0"/>
          <w:iCs w:val="0"/>
          <w:caps w:val="0"/>
          <w:color w:val="333333"/>
          <w:spacing w:val="-4"/>
          <w:sz w:val="24"/>
          <w:szCs w:val="24"/>
        </w:rPr>
      </w:pPr>
    </w:p>
    <w:p w14:paraId="1416F9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36" w:lineRule="auto"/>
        <w:ind w:left="0" w:right="0" w:firstLine="0"/>
        <w:jc w:val="center"/>
        <w:textAlignment w:val="auto"/>
        <w:rPr>
          <w:rFonts w:ascii="黑体" w:hAnsi="宋体" w:eastAsia="黑体" w:cs="黑体"/>
          <w:i w:val="0"/>
          <w:iCs w:val="0"/>
          <w:caps w:val="0"/>
          <w:color w:val="333333"/>
          <w:spacing w:val="-4"/>
          <w:sz w:val="24"/>
          <w:szCs w:val="24"/>
        </w:rPr>
      </w:pPr>
    </w:p>
    <w:p w14:paraId="256BF5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36" w:lineRule="auto"/>
        <w:ind w:left="0" w:right="0" w:firstLine="0"/>
        <w:jc w:val="center"/>
        <w:textAlignment w:val="auto"/>
        <w:rPr>
          <w:rFonts w:ascii="等线" w:hAnsi="等线" w:eastAsia="等线" w:cs="等线"/>
          <w:i w:val="0"/>
          <w:iCs w:val="0"/>
          <w:caps w:val="0"/>
          <w:color w:val="333333"/>
          <w:spacing w:val="0"/>
          <w:sz w:val="24"/>
          <w:szCs w:val="24"/>
        </w:rPr>
      </w:pPr>
      <w:r>
        <w:rPr>
          <w:rFonts w:ascii="黑体" w:hAnsi="宋体" w:eastAsia="黑体" w:cs="黑体"/>
          <w:i w:val="0"/>
          <w:iCs w:val="0"/>
          <w:caps w:val="0"/>
          <w:color w:val="333333"/>
          <w:spacing w:val="-4"/>
          <w:sz w:val="24"/>
          <w:szCs w:val="24"/>
        </w:rPr>
        <w:t>创业组赛项评审要点</w:t>
      </w:r>
    </w:p>
    <w:tbl>
      <w:tblPr>
        <w:tblStyle w:val="5"/>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16"/>
        <w:gridCol w:w="6538"/>
        <w:gridCol w:w="705"/>
      </w:tblGrid>
      <w:tr w14:paraId="44B0E5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tcMar>
              <w:left w:w="28" w:type="dxa"/>
              <w:right w:w="28" w:type="dxa"/>
            </w:tcMar>
            <w:vAlign w:val="center"/>
          </w:tcPr>
          <w:p w14:paraId="4BA635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评审要点</w:t>
            </w:r>
          </w:p>
        </w:tc>
        <w:tc>
          <w:tcPr>
            <w:tcW w:w="6538" w:type="dxa"/>
            <w:tcBorders>
              <w:top w:val="single" w:color="000000" w:sz="8" w:space="0"/>
              <w:left w:val="nil"/>
              <w:bottom w:val="single" w:color="000000" w:sz="8" w:space="0"/>
              <w:right w:val="single" w:color="000000" w:sz="8" w:space="0"/>
            </w:tcBorders>
            <w:shd w:val="clear" w:color="auto" w:fill="auto"/>
            <w:tcMar>
              <w:left w:w="28" w:type="dxa"/>
              <w:right w:w="28" w:type="dxa"/>
            </w:tcMar>
            <w:vAlign w:val="center"/>
          </w:tcPr>
          <w:p w14:paraId="70DE0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评审内容</w:t>
            </w:r>
          </w:p>
        </w:tc>
        <w:tc>
          <w:tcPr>
            <w:tcW w:w="705" w:type="dxa"/>
            <w:tcBorders>
              <w:top w:val="single" w:color="000000" w:sz="8" w:space="0"/>
              <w:left w:val="nil"/>
              <w:bottom w:val="single" w:color="000000" w:sz="8" w:space="0"/>
              <w:right w:val="single" w:color="000000" w:sz="8" w:space="0"/>
            </w:tcBorders>
            <w:shd w:val="clear" w:color="auto" w:fill="auto"/>
            <w:tcMar>
              <w:left w:w="28" w:type="dxa"/>
              <w:right w:w="28" w:type="dxa"/>
            </w:tcMar>
            <w:vAlign w:val="center"/>
          </w:tcPr>
          <w:p w14:paraId="7CA75A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分数</w:t>
            </w:r>
          </w:p>
        </w:tc>
      </w:tr>
      <w:tr w14:paraId="4AF546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2" w:hRule="atLeast"/>
          <w:jc w:val="center"/>
        </w:trPr>
        <w:tc>
          <w:tcPr>
            <w:tcW w:w="1116"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18476F26">
            <w:pPr>
              <w:jc w:val="center"/>
              <w:rPr>
                <w:rFonts w:hint="eastAsia" w:ascii="等线" w:hAnsi="等线" w:eastAsia="等线" w:cs="等线"/>
                <w:sz w:val="24"/>
                <w:szCs w:val="24"/>
              </w:rPr>
            </w:pPr>
            <w:r>
              <w:rPr>
                <w:rFonts w:hint="eastAsia" w:hAnsi="仿宋_GB2312" w:cs="仿宋_GB2312"/>
              </w:rPr>
              <w:t>教育维度</w:t>
            </w:r>
          </w:p>
        </w:tc>
        <w:tc>
          <w:tcPr>
            <w:tcW w:w="6538" w:type="dxa"/>
            <w:tcBorders>
              <w:top w:val="nil"/>
              <w:left w:val="nil"/>
              <w:bottom w:val="single" w:color="000000" w:sz="8" w:space="0"/>
              <w:right w:val="single" w:color="000000" w:sz="8" w:space="0"/>
            </w:tcBorders>
            <w:shd w:val="clear" w:color="auto" w:fill="auto"/>
            <w:tcMar>
              <w:left w:w="28" w:type="dxa"/>
              <w:right w:w="28" w:type="dxa"/>
            </w:tcMar>
            <w:vAlign w:val="center"/>
          </w:tcPr>
          <w:p w14:paraId="00858E11">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int="eastAsia" w:hAnsi="仿宋_GB2312" w:cs="仿宋_GB2312"/>
              </w:rPr>
              <w:t>1</w:t>
            </w:r>
            <w:r>
              <w:rPr>
                <w:rFonts w:hAnsi="仿宋_GB2312" w:cs="仿宋_GB2312"/>
              </w:rPr>
              <w:t>.</w:t>
            </w:r>
            <w:r>
              <w:rPr>
                <w:rFonts w:hint="eastAsia" w:hAnsi="仿宋_GB2312" w:cs="仿宋_GB2312"/>
              </w:rPr>
              <w:t>项目应弘扬正确的价值观，体现家国情怀，恪守伦理规范，有助于培育创新创业精神。</w:t>
            </w:r>
          </w:p>
          <w:p w14:paraId="7B52D12C">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2.项目符合将专业知识与商业知识有效结合并转化为商业价值或社会价值的创新创业基本过程和基本逻辑，展现创新创业教育对创业者基本素养和认知的塑造力。</w:t>
            </w:r>
          </w:p>
          <w:p w14:paraId="1BC5E9BA">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3.体现团队对创新创业所需知识（专业知识、商业知识、行业知识等）与技能（计划、组织、领导、控制、创新等）的娴熟掌握与应用，展现创新创业教育提升创业者综合能力的效力。</w:t>
            </w:r>
          </w:p>
          <w:p w14:paraId="441E4691">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spacing w:val="-2"/>
              </w:rPr>
              <w:t>4.项目充分体现团队解决复杂问题的综合能力和高级思维</w:t>
            </w:r>
            <w:r>
              <w:rPr>
                <w:rFonts w:hint="eastAsia" w:hAnsi="仿宋_GB2312" w:cs="仿宋_GB2312"/>
                <w:spacing w:val="-2"/>
              </w:rPr>
              <w:t>；体现项目成长对团队成员创新创业精神、意识、能力的锻炼和提升作</w:t>
            </w:r>
            <w:r>
              <w:rPr>
                <w:rFonts w:hint="eastAsia" w:hAnsi="仿宋_GB2312" w:cs="仿宋_GB2312"/>
              </w:rPr>
              <w:t>用。</w:t>
            </w:r>
          </w:p>
          <w:p w14:paraId="3FD6CC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等线" w:hAnsi="等线" w:eastAsia="等线" w:cs="等线"/>
                <w:sz w:val="24"/>
                <w:szCs w:val="24"/>
              </w:rPr>
            </w:pPr>
            <w:r>
              <w:rPr>
                <w:rFonts w:hAnsi="仿宋_GB2312" w:cs="仿宋_GB2312"/>
              </w:rPr>
              <w:t>5.项目能充分体现</w:t>
            </w:r>
            <w:r>
              <w:rPr>
                <w:rFonts w:hint="eastAsia" w:hAnsi="仿宋_GB2312" w:cs="仿宋_GB2312"/>
              </w:rPr>
              <w:t>院校在职业教育建设方面取得的成果；体现院校在项目的培育、孵化等方面的支持情况；体现多学科交叉、专创融合、产学研协同创新、产教融合等模式在项目的产生与执行中的重要作用。</w:t>
            </w:r>
          </w:p>
        </w:tc>
        <w:tc>
          <w:tcPr>
            <w:tcW w:w="705" w:type="dxa"/>
            <w:tcBorders>
              <w:top w:val="nil"/>
              <w:left w:val="nil"/>
              <w:bottom w:val="single" w:color="000000" w:sz="8" w:space="0"/>
              <w:right w:val="single" w:color="000000" w:sz="8" w:space="0"/>
            </w:tcBorders>
            <w:shd w:val="clear" w:color="auto" w:fill="auto"/>
            <w:tcMar>
              <w:left w:w="28" w:type="dxa"/>
              <w:right w:w="28" w:type="dxa"/>
            </w:tcMar>
            <w:vAlign w:val="center"/>
          </w:tcPr>
          <w:p w14:paraId="172836F2">
            <w:pPr>
              <w:jc w:val="center"/>
              <w:rPr>
                <w:rFonts w:hint="eastAsia" w:ascii="等线" w:hAnsi="等线" w:eastAsia="等线" w:cs="等线"/>
                <w:sz w:val="24"/>
                <w:szCs w:val="24"/>
              </w:rPr>
            </w:pPr>
            <w:r>
              <w:rPr>
                <w:rFonts w:hint="eastAsia" w:hAnsi="仿宋_GB2312" w:cs="仿宋_GB2312"/>
                <w:b/>
                <w:bCs/>
              </w:rPr>
              <w:t>20</w:t>
            </w:r>
          </w:p>
        </w:tc>
      </w:tr>
      <w:tr w14:paraId="521CBD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1" w:hRule="atLeast"/>
          <w:jc w:val="center"/>
        </w:trPr>
        <w:tc>
          <w:tcPr>
            <w:tcW w:w="1116"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3D91299C">
            <w:pPr>
              <w:jc w:val="center"/>
              <w:rPr>
                <w:rFonts w:hint="eastAsia" w:ascii="等线" w:hAnsi="等线" w:eastAsia="等线" w:cs="等线"/>
                <w:sz w:val="24"/>
                <w:szCs w:val="24"/>
              </w:rPr>
            </w:pPr>
            <w:r>
              <w:rPr>
                <w:rFonts w:hint="eastAsia" w:hAnsi="仿宋_GB2312" w:cs="仿宋_GB2312"/>
              </w:rPr>
              <w:t>商业维度</w:t>
            </w:r>
          </w:p>
        </w:tc>
        <w:tc>
          <w:tcPr>
            <w:tcW w:w="6538" w:type="dxa"/>
            <w:tcBorders>
              <w:top w:val="nil"/>
              <w:left w:val="nil"/>
              <w:bottom w:val="single" w:color="000000" w:sz="8" w:space="0"/>
              <w:right w:val="single" w:color="000000" w:sz="8" w:space="0"/>
            </w:tcBorders>
            <w:shd w:val="clear" w:color="auto" w:fill="auto"/>
            <w:tcMar>
              <w:left w:w="28" w:type="dxa"/>
              <w:right w:w="28" w:type="dxa"/>
            </w:tcMar>
            <w:vAlign w:val="center"/>
          </w:tcPr>
          <w:p w14:paraId="60829B0F">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1.充分掌握所在产业（行业）的产业规模、增长速度、竞争格局、产业趋势、产业政策等情况；具有明确的目标市场定位，充分掌握目标市场的特征、需求等情况；具有完整、</w:t>
            </w:r>
            <w:r>
              <w:rPr>
                <w:rFonts w:hint="eastAsia" w:hAnsi="仿宋_GB2312" w:cs="仿宋_GB2312"/>
              </w:rPr>
              <w:t>创新、</w:t>
            </w:r>
            <w:r>
              <w:rPr>
                <w:rFonts w:hAnsi="仿宋_GB2312" w:cs="仿宋_GB2312"/>
              </w:rPr>
              <w:t>可行的商业模式。</w:t>
            </w:r>
          </w:p>
          <w:p w14:paraId="3FCD777C">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int="eastAsia" w:hAnsi="仿宋_GB2312" w:cs="仿宋_GB2312"/>
              </w:rPr>
              <w:t>2.经营绩效方面，重点考察项目存续时间、营业收入（合同订单）现状、企业利润、持续盈利能力、市场份额、客户（用户）情况、税收上缴、投入与产出比等情况。</w:t>
            </w:r>
          </w:p>
          <w:p w14:paraId="1B93A572">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int="eastAsia" w:hAnsi="仿宋_GB2312" w:cs="仿宋_GB2312"/>
              </w:rPr>
              <w:t>3.经营管理方面，是否有清晰的企业发展目标；是否有完备的研发、生产、运营、营销等制度和体系；是否采用先进、科学的管理方法，以确保企业具有较强的竞争力。</w:t>
            </w:r>
          </w:p>
          <w:p w14:paraId="518C586B">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4.成长性方面，是否有清晰</w:t>
            </w:r>
            <w:r>
              <w:rPr>
                <w:rFonts w:hint="eastAsia" w:hAnsi="仿宋_GB2312" w:cs="仿宋_GB2312"/>
              </w:rPr>
              <w:t>、有效、全方位的企业发展战略，并拥有可靠的内外部资源（人才、资金、技术等方面）实现企业战略，以建立企业的持续竞争优势。</w:t>
            </w:r>
          </w:p>
          <w:p w14:paraId="11607975">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5</w:t>
            </w:r>
            <w:r>
              <w:rPr>
                <w:rFonts w:hint="eastAsia" w:hAnsi="仿宋_GB2312" w:cs="仿宋_GB2312"/>
              </w:rPr>
              <w:t>.现金流及融资方面，关注项目融资情况、获取资金渠道情况、企业经营的现金流情况、融资需求及资金使用情况是否合理。</w:t>
            </w:r>
          </w:p>
          <w:p w14:paraId="2D922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等线" w:hAnsi="等线" w:eastAsia="等线" w:cs="等线"/>
                <w:sz w:val="24"/>
                <w:szCs w:val="24"/>
              </w:rPr>
            </w:pPr>
            <w:r>
              <w:rPr>
                <w:rFonts w:hAnsi="仿宋_GB2312" w:cs="仿宋_GB2312"/>
              </w:rPr>
              <w:t>6</w:t>
            </w:r>
            <w:r>
              <w:rPr>
                <w:rFonts w:hint="eastAsia" w:hAnsi="仿宋_GB2312" w:cs="仿宋_GB2312"/>
              </w:rPr>
              <w:t>.项目对促进区域经济发展、产业转型升级的情况。</w:t>
            </w:r>
          </w:p>
        </w:tc>
        <w:tc>
          <w:tcPr>
            <w:tcW w:w="705" w:type="dxa"/>
            <w:tcBorders>
              <w:top w:val="nil"/>
              <w:left w:val="nil"/>
              <w:bottom w:val="single" w:color="000000" w:sz="8" w:space="0"/>
              <w:right w:val="single" w:color="000000" w:sz="8" w:space="0"/>
            </w:tcBorders>
            <w:shd w:val="clear" w:color="auto" w:fill="auto"/>
            <w:tcMar>
              <w:left w:w="28" w:type="dxa"/>
              <w:right w:w="28" w:type="dxa"/>
            </w:tcMar>
            <w:vAlign w:val="center"/>
          </w:tcPr>
          <w:p w14:paraId="3582FF6F">
            <w:pPr>
              <w:jc w:val="center"/>
              <w:rPr>
                <w:rFonts w:hint="eastAsia" w:ascii="等线" w:hAnsi="等线" w:eastAsia="等线" w:cs="等线"/>
                <w:sz w:val="24"/>
                <w:szCs w:val="24"/>
              </w:rPr>
            </w:pPr>
            <w:r>
              <w:rPr>
                <w:rFonts w:hint="eastAsia" w:hAnsi="仿宋_GB2312" w:cs="仿宋_GB2312"/>
                <w:b/>
                <w:bCs/>
              </w:rPr>
              <w:t>30</w:t>
            </w:r>
          </w:p>
        </w:tc>
      </w:tr>
      <w:tr w14:paraId="62A365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6" w:hRule="atLeast"/>
          <w:jc w:val="center"/>
        </w:trPr>
        <w:tc>
          <w:tcPr>
            <w:tcW w:w="1116"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2D3EB505">
            <w:pPr>
              <w:jc w:val="center"/>
              <w:rPr>
                <w:rFonts w:hint="eastAsia" w:ascii="等线" w:hAnsi="等线" w:eastAsia="等线" w:cs="等线"/>
                <w:sz w:val="24"/>
                <w:szCs w:val="24"/>
              </w:rPr>
            </w:pPr>
            <w:r>
              <w:rPr>
                <w:rFonts w:hint="eastAsia" w:hAnsi="仿宋_GB2312" w:cs="仿宋_GB2312"/>
              </w:rPr>
              <w:t>团队维度</w:t>
            </w:r>
          </w:p>
        </w:tc>
        <w:tc>
          <w:tcPr>
            <w:tcW w:w="6538" w:type="dxa"/>
            <w:tcBorders>
              <w:top w:val="nil"/>
              <w:left w:val="nil"/>
              <w:bottom w:val="single" w:color="000000" w:sz="8" w:space="0"/>
              <w:right w:val="single" w:color="000000" w:sz="8" w:space="0"/>
            </w:tcBorders>
            <w:shd w:val="clear" w:color="auto" w:fill="auto"/>
            <w:tcMar>
              <w:left w:w="28" w:type="dxa"/>
              <w:right w:w="28" w:type="dxa"/>
            </w:tcMar>
            <w:vAlign w:val="center"/>
          </w:tcPr>
          <w:p w14:paraId="45FE1427">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1.团队的组成原则与过程是否科学合理</w:t>
            </w:r>
            <w:r>
              <w:rPr>
                <w:rFonts w:hint="eastAsia" w:hAnsi="仿宋_GB2312" w:cs="仿宋_GB2312"/>
              </w:rPr>
              <w:t>；团队是否具有独特的支撑项目成长的知识、技能、经验以及成熟的外部资源网络；是否有明确的使命愿景。</w:t>
            </w:r>
          </w:p>
          <w:p w14:paraId="2E6134B8">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2.公司是否具有</w:t>
            </w:r>
            <w:r>
              <w:rPr>
                <w:rFonts w:hint="eastAsia" w:hAnsi="仿宋_GB2312" w:cs="仿宋_GB2312"/>
              </w:rPr>
              <w:t>合理的组织构架、清晰的指挥链、科学的决策机制；是否有合理的岗位设置、分工协作、专业能力结构；是否有良好的内部沟通机制；是否有合理的股权结构、激励制度等。</w:t>
            </w:r>
          </w:p>
          <w:p w14:paraId="562BA50B">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3.团队对项目的各项投入情况及团队成员的稳定性情况。</w:t>
            </w:r>
          </w:p>
          <w:p w14:paraId="29D98E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等线" w:hAnsi="等线" w:eastAsia="等线" w:cs="等线"/>
                <w:sz w:val="24"/>
                <w:szCs w:val="24"/>
              </w:rPr>
            </w:pPr>
            <w:r>
              <w:rPr>
                <w:rFonts w:hAnsi="仿宋_GB2312" w:cs="仿宋_GB2312"/>
              </w:rPr>
              <w:t>4.支撑公司发展的合作伙伴等外部资源的使用以及与公司关系的情况。</w:t>
            </w:r>
          </w:p>
        </w:tc>
        <w:tc>
          <w:tcPr>
            <w:tcW w:w="705" w:type="dxa"/>
            <w:tcBorders>
              <w:top w:val="nil"/>
              <w:left w:val="nil"/>
              <w:bottom w:val="single" w:color="000000" w:sz="8" w:space="0"/>
              <w:right w:val="single" w:color="000000" w:sz="8" w:space="0"/>
            </w:tcBorders>
            <w:shd w:val="clear" w:color="auto" w:fill="auto"/>
            <w:tcMar>
              <w:left w:w="28" w:type="dxa"/>
              <w:right w:w="28" w:type="dxa"/>
            </w:tcMar>
            <w:vAlign w:val="center"/>
          </w:tcPr>
          <w:p w14:paraId="68A362C2">
            <w:pPr>
              <w:jc w:val="center"/>
              <w:rPr>
                <w:rFonts w:hint="eastAsia" w:ascii="等线" w:hAnsi="等线" w:eastAsia="等线" w:cs="等线"/>
                <w:sz w:val="24"/>
                <w:szCs w:val="24"/>
              </w:rPr>
            </w:pPr>
            <w:r>
              <w:rPr>
                <w:rFonts w:hint="eastAsia" w:hAnsi="仿宋_GB2312" w:cs="仿宋_GB2312"/>
                <w:b/>
                <w:bCs/>
              </w:rPr>
              <w:t>20</w:t>
            </w:r>
          </w:p>
        </w:tc>
      </w:tr>
      <w:tr w14:paraId="6D239E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7" w:hRule="atLeast"/>
          <w:jc w:val="center"/>
        </w:trPr>
        <w:tc>
          <w:tcPr>
            <w:tcW w:w="1116"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073FE79B">
            <w:pPr>
              <w:jc w:val="center"/>
              <w:rPr>
                <w:rFonts w:hint="eastAsia" w:ascii="等线" w:hAnsi="等线" w:eastAsia="等线" w:cs="等线"/>
                <w:sz w:val="24"/>
                <w:szCs w:val="24"/>
              </w:rPr>
            </w:pPr>
            <w:r>
              <w:rPr>
                <w:rFonts w:hint="eastAsia" w:hAnsi="仿宋_GB2312" w:cs="仿宋_GB2312"/>
              </w:rPr>
              <w:t>创新维度</w:t>
            </w:r>
          </w:p>
        </w:tc>
        <w:tc>
          <w:tcPr>
            <w:tcW w:w="6538" w:type="dxa"/>
            <w:tcBorders>
              <w:top w:val="nil"/>
              <w:left w:val="nil"/>
              <w:bottom w:val="single" w:color="000000" w:sz="8" w:space="0"/>
              <w:right w:val="single" w:color="000000" w:sz="8" w:space="0"/>
            </w:tcBorders>
            <w:shd w:val="clear" w:color="auto" w:fill="auto"/>
            <w:tcMar>
              <w:left w:w="28" w:type="dxa"/>
              <w:right w:w="28" w:type="dxa"/>
            </w:tcMar>
            <w:vAlign w:val="center"/>
          </w:tcPr>
          <w:p w14:paraId="2845CD28">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int="eastAsia" w:hAnsi="仿宋_GB2312" w:cs="仿宋_GB2312"/>
              </w:rPr>
              <w:t>1.具有原始创意、创造。</w:t>
            </w:r>
          </w:p>
          <w:p w14:paraId="22ABD32E">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int="eastAsia" w:hAnsi="仿宋_GB2312" w:cs="仿宋_GB2312"/>
              </w:rPr>
              <w:t>2.具有面向培养“大国工匠”与能工巧匠的创意与创新。</w:t>
            </w:r>
          </w:p>
          <w:p w14:paraId="57C1735F">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int="eastAsia" w:hAnsi="仿宋_GB2312" w:cs="仿宋_GB2312"/>
              </w:rPr>
              <w:t>3.项目体现产教融合模式创新、校企合作模式创新、工学一体模式创新。</w:t>
            </w:r>
          </w:p>
          <w:p w14:paraId="732174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等线" w:hAnsi="等线" w:eastAsia="等线" w:cs="等线"/>
                <w:sz w:val="24"/>
                <w:szCs w:val="24"/>
              </w:rPr>
            </w:pPr>
            <w:r>
              <w:rPr>
                <w:rFonts w:hint="eastAsia" w:hAnsi="仿宋_GB2312" w:cs="仿宋_GB2312"/>
              </w:rPr>
              <w:t>4.鼓励面向职业和岗位的创意及创新，侧重于加工工艺创新、实用技术创新、产品（技术）改良、应用性优化、民生类创意等。</w:t>
            </w:r>
          </w:p>
        </w:tc>
        <w:tc>
          <w:tcPr>
            <w:tcW w:w="705" w:type="dxa"/>
            <w:tcBorders>
              <w:top w:val="nil"/>
              <w:left w:val="nil"/>
              <w:bottom w:val="single" w:color="000000" w:sz="8" w:space="0"/>
              <w:right w:val="single" w:color="000000" w:sz="8" w:space="0"/>
            </w:tcBorders>
            <w:shd w:val="clear" w:color="auto" w:fill="auto"/>
            <w:tcMar>
              <w:left w:w="28" w:type="dxa"/>
              <w:right w:w="28" w:type="dxa"/>
            </w:tcMar>
            <w:vAlign w:val="center"/>
          </w:tcPr>
          <w:p w14:paraId="6A596E6D">
            <w:pPr>
              <w:jc w:val="center"/>
              <w:rPr>
                <w:rFonts w:hint="eastAsia" w:ascii="等线" w:hAnsi="等线" w:eastAsia="等线" w:cs="等线"/>
                <w:sz w:val="24"/>
                <w:szCs w:val="24"/>
              </w:rPr>
            </w:pPr>
            <w:r>
              <w:rPr>
                <w:rFonts w:hint="eastAsia" w:hAnsi="仿宋_GB2312" w:cs="仿宋_GB2312"/>
                <w:b/>
                <w:bCs/>
              </w:rPr>
              <w:t>20</w:t>
            </w:r>
          </w:p>
        </w:tc>
      </w:tr>
      <w:tr w14:paraId="4EAECC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 w:hRule="atLeast"/>
          <w:jc w:val="center"/>
        </w:trPr>
        <w:tc>
          <w:tcPr>
            <w:tcW w:w="1116"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424FFEFA">
            <w:pPr>
              <w:jc w:val="center"/>
              <w:rPr>
                <w:rFonts w:hint="eastAsia" w:ascii="等线" w:hAnsi="等线" w:eastAsia="等线" w:cs="等线"/>
                <w:sz w:val="24"/>
                <w:szCs w:val="24"/>
              </w:rPr>
            </w:pPr>
            <w:r>
              <w:rPr>
                <w:rFonts w:hint="eastAsia" w:hAnsi="仿宋_GB2312" w:cs="仿宋_GB2312"/>
              </w:rPr>
              <w:t>社会价值维度</w:t>
            </w:r>
          </w:p>
        </w:tc>
        <w:tc>
          <w:tcPr>
            <w:tcW w:w="6538" w:type="dxa"/>
            <w:tcBorders>
              <w:top w:val="nil"/>
              <w:left w:val="nil"/>
              <w:bottom w:val="single" w:color="000000" w:sz="8" w:space="0"/>
              <w:right w:val="single" w:color="000000" w:sz="8" w:space="0"/>
            </w:tcBorders>
            <w:shd w:val="clear" w:color="auto" w:fill="auto"/>
            <w:tcMar>
              <w:left w:w="28" w:type="dxa"/>
              <w:right w:w="28" w:type="dxa"/>
            </w:tcMar>
            <w:vAlign w:val="center"/>
          </w:tcPr>
          <w:p w14:paraId="321A53E0">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1.项目直接</w:t>
            </w:r>
            <w:r>
              <w:rPr>
                <w:rFonts w:hint="eastAsia" w:hAnsi="仿宋_GB2312" w:cs="仿宋_GB2312"/>
              </w:rPr>
              <w:t>提供就业岗位的数量和质量。</w:t>
            </w:r>
          </w:p>
          <w:p w14:paraId="1FD28987">
            <w:pPr>
              <w:keepNext w:val="0"/>
              <w:keepLines w:val="0"/>
              <w:pageBreakBefore w:val="0"/>
              <w:widowControl w:val="0"/>
              <w:kinsoku/>
              <w:wordWrap/>
              <w:overflowPunct/>
              <w:topLinePunct w:val="0"/>
              <w:autoSpaceDE/>
              <w:autoSpaceDN/>
              <w:bidi w:val="0"/>
              <w:adjustRightInd/>
              <w:snapToGrid/>
              <w:spacing w:line="280" w:lineRule="exact"/>
              <w:textAlignment w:val="auto"/>
              <w:rPr>
                <w:rFonts w:hAnsi="仿宋_GB2312" w:cs="仿宋_GB2312"/>
              </w:rPr>
            </w:pPr>
            <w:r>
              <w:rPr>
                <w:rFonts w:hAnsi="仿宋_GB2312" w:cs="仿宋_GB2312"/>
              </w:rPr>
              <w:t>2.项目间接带动就业的能力和规模。</w:t>
            </w:r>
          </w:p>
          <w:p w14:paraId="7410ED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等线" w:hAnsi="等线" w:eastAsia="等线" w:cs="等线"/>
                <w:sz w:val="24"/>
                <w:szCs w:val="24"/>
              </w:rPr>
            </w:pPr>
            <w:r>
              <w:rPr>
                <w:rFonts w:hAnsi="仿宋_GB2312" w:cs="仿宋_GB2312"/>
              </w:rPr>
              <w:t>3.项目对社会文明、生态文明、民生福祉等方面的积极推动作用。</w:t>
            </w:r>
          </w:p>
        </w:tc>
        <w:tc>
          <w:tcPr>
            <w:tcW w:w="705" w:type="dxa"/>
            <w:tcBorders>
              <w:top w:val="nil"/>
              <w:left w:val="nil"/>
              <w:bottom w:val="single" w:color="000000" w:sz="8" w:space="0"/>
              <w:right w:val="single" w:color="000000" w:sz="8" w:space="0"/>
            </w:tcBorders>
            <w:shd w:val="clear" w:color="auto" w:fill="auto"/>
            <w:tcMar>
              <w:left w:w="28" w:type="dxa"/>
              <w:right w:w="28" w:type="dxa"/>
            </w:tcMar>
            <w:vAlign w:val="center"/>
          </w:tcPr>
          <w:p w14:paraId="41CDBF90">
            <w:pPr>
              <w:jc w:val="center"/>
              <w:rPr>
                <w:rFonts w:hint="eastAsia" w:ascii="等线" w:hAnsi="等线" w:eastAsia="等线" w:cs="等线"/>
                <w:sz w:val="24"/>
                <w:szCs w:val="24"/>
              </w:rPr>
            </w:pPr>
            <w:r>
              <w:rPr>
                <w:rFonts w:hint="eastAsia" w:hAnsi="仿宋_GB2312" w:cs="仿宋_GB2312"/>
                <w:b/>
                <w:bCs/>
              </w:rPr>
              <w:t>10</w:t>
            </w:r>
          </w:p>
        </w:tc>
      </w:tr>
    </w:tbl>
    <w:p w14:paraId="529069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7"/>
        <w:jc w:val="both"/>
        <w:textAlignment w:val="auto"/>
        <w:rPr>
          <w:rFonts w:hint="eastAsia" w:ascii="仿宋" w:hAnsi="仿宋" w:eastAsia="仿宋" w:cs="仿宋"/>
          <w:b/>
          <w:bCs/>
          <w:i w:val="0"/>
          <w:iCs w:val="0"/>
          <w:caps w:val="0"/>
          <w:color w:val="333333"/>
          <w:spacing w:val="-4"/>
          <w:sz w:val="24"/>
          <w:szCs w:val="24"/>
        </w:rPr>
      </w:pPr>
    </w:p>
    <w:p w14:paraId="26E8E0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7"/>
        <w:jc w:val="both"/>
        <w:textAlignment w:val="auto"/>
        <w:rPr>
          <w:rFonts w:hint="eastAsia" w:ascii="仿宋" w:hAnsi="仿宋" w:eastAsia="仿宋" w:cs="仿宋"/>
          <w:b/>
          <w:bCs/>
          <w:i w:val="0"/>
          <w:iCs w:val="0"/>
          <w:caps w:val="0"/>
          <w:color w:val="333333"/>
          <w:spacing w:val="-4"/>
          <w:sz w:val="24"/>
          <w:szCs w:val="24"/>
        </w:rPr>
      </w:pPr>
    </w:p>
    <w:p w14:paraId="39D606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7"/>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4"/>
          <w:sz w:val="24"/>
          <w:szCs w:val="24"/>
        </w:rPr>
        <w:t>赛项三：创新启蒙组</w:t>
      </w:r>
    </w:p>
    <w:p w14:paraId="34EAF9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该项目重点考察职业学校学生结合所学专业或生活实际，由学生本人独立或在老师指导下（合作）构思、设计、制作完成新产品和新材料的研发、工艺流程革新或优化等能力，参赛作品可以是一个独立、完整的产品，也可以是一个设备或仪器中的零部件，也可以是优化改进的工艺流程，所有作品须以能够演示的实物或模型参赛。该组别参赛项目可以是个人项目，也可以是集体项目，参赛对象为中职和高职在校生，集体项目团队成员不超过</w:t>
      </w:r>
      <w:r>
        <w:rPr>
          <w:rFonts w:hint="default" w:ascii="Times New Roman" w:hAnsi="Times New Roman" w:eastAsia="仿宋" w:cs="Times New Roman"/>
          <w:i w:val="0"/>
          <w:iCs w:val="0"/>
          <w:caps w:val="0"/>
          <w:color w:val="333333"/>
          <w:spacing w:val="-4"/>
          <w:sz w:val="24"/>
          <w:szCs w:val="24"/>
        </w:rPr>
        <w:t>3</w:t>
      </w:r>
      <w:r>
        <w:rPr>
          <w:rFonts w:hint="eastAsia" w:ascii="仿宋" w:hAnsi="仿宋" w:eastAsia="仿宋" w:cs="仿宋"/>
          <w:i w:val="0"/>
          <w:iCs w:val="0"/>
          <w:caps w:val="0"/>
          <w:color w:val="333333"/>
          <w:spacing w:val="-4"/>
          <w:sz w:val="24"/>
          <w:szCs w:val="24"/>
        </w:rPr>
        <w:t>人，不允许跨校组队，指导教师不超过</w:t>
      </w:r>
      <w:r>
        <w:rPr>
          <w:rFonts w:hint="eastAsia" w:ascii="Times New Roman" w:eastAsia="仿宋" w:cs="Times New Roman"/>
          <w:i w:val="0"/>
          <w:iCs w:val="0"/>
          <w:caps w:val="0"/>
          <w:color w:val="333333"/>
          <w:spacing w:val="-4"/>
          <w:sz w:val="24"/>
          <w:szCs w:val="24"/>
          <w:lang w:val="en-US" w:eastAsia="zh-CN"/>
        </w:rPr>
        <w:t>2</w:t>
      </w:r>
      <w:r>
        <w:rPr>
          <w:rFonts w:hint="eastAsia" w:ascii="仿宋" w:hAnsi="仿宋" w:eastAsia="仿宋" w:cs="仿宋"/>
          <w:i w:val="0"/>
          <w:iCs w:val="0"/>
          <w:caps w:val="0"/>
          <w:color w:val="333333"/>
          <w:spacing w:val="-4"/>
          <w:sz w:val="24"/>
          <w:szCs w:val="24"/>
        </w:rPr>
        <w:t>人。</w:t>
      </w:r>
    </w:p>
    <w:p w14:paraId="7EF9F0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1.申报要求。获得申报资格的参赛作品需在竞赛平台提交项目申报表、查新报告、研究报告等材料。填报要求：（1）项目申报书：完整填写项目申报书；（2）查新报告：每名申报者须在项目研究开始前和申报参赛前对项目选题和内容分别进行查新检索，并提交查新报告；（3）研究报告：字数应不少于2千字，结合自身专业特色，站在“创造性、新颖性、实用性”角度，评价作品的技术特征，与现有产品的不同点等。详细介绍实施（使用）方法及作品原理。</w:t>
      </w:r>
    </w:p>
    <w:p w14:paraId="5C4BE6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2.相关要求。参赛作品应结合所学专业，围绕生活、生产、身边的技术，由学生本人独立或在老师指导下（合作）构思、设计、制作完成。符合《中华人民共和国专利法实施细则》中发明、实用新型和外观设计等有关规定；符合《江苏省职业学校创新创业大赛作品学科分类及认定标准》的有关要求。</w:t>
      </w:r>
    </w:p>
    <w:p w14:paraId="4023E7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（1）参赛作品要求：①独立或完整的产品；②设备或仪器中的零部件；③如果限于条件暂时不能制成实物的作品需以能够演示的模型参赛。</w:t>
      </w:r>
    </w:p>
    <w:p w14:paraId="50FF26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（2）可申报创新范围：①原始创新的作品；②对现有技术、产品进行新组合的集成创新作品；③对已有技术、产品在消化吸收的基础上再创新的作品。</w:t>
      </w:r>
    </w:p>
    <w:p w14:paraId="00A783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3）不予参赛的作品：①项目内容和研究过程违反国家法律、法规和社会公德或者妨害公共利益；②药品和食品；在研制和使用的过程中危及生命财产安全的作品；与国家现行法律和法规有抵触的作品；③仅有发明创新意图但尚未形成发明实体的作品；已由他人发明、公开、已申报专利的作品；④计算机软件（含课件、教学软件）、计算机动画类作品不列入大赛评审范围。但使用计算机作为技术开发工具（指计算机控制、计算、辅助设计等）的创新成果或产品，可以参加评审。</w:t>
      </w:r>
    </w:p>
    <w:p w14:paraId="31EBC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3.评审原则。评审依照“三自”和“三性”原则进行。</w:t>
      </w:r>
    </w:p>
    <w:p w14:paraId="66CFE0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三自”：①作品的选题由学生结合本专业，自行提出和发现。②作品设计中的创造性贡献部分由学生本人构思（通过观察、考察、实验等研究手段亲自获得）、设计和研究完成。③作品主要由学生自己动手制作完成。</w:t>
      </w:r>
    </w:p>
    <w:p w14:paraId="059C3C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三性”：①科学性：作品的选题与成果具有科学技术意义，技术设计方案合理，发明与创新过程符合科学性。②创新性：作品的新颖程度（指在申报日前没有同样的发明或创新的成果公开发表过和使用过）、先进程度、技术水平与难易程度的先进性。③实用性：指发明或创新的作品可以转化为产品，有可预见的社会效益、经济效益，有应用意义与推广前景。</w:t>
      </w:r>
    </w:p>
    <w:p w14:paraId="198DDF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参赛学生必须按照申报要求提交全部必要的资料，作品相关技术均不得向评委保密，如已使用别人已经注册的知识产权的部分，在申报时应说明出处。参赛作品的技术成果受到法律保护。大赛组委会负有对外保密责任。</w:t>
      </w:r>
    </w:p>
    <w:p w14:paraId="3099D8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如发现资格不符合规定、弄虚作假、剽窃他人成果、不能如实申报相关材料和主动声明引用他人技术成果者，将取消其参赛资格。</w:t>
      </w:r>
    </w:p>
    <w:p w14:paraId="732868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4.评审流程。市级复赛阶段，根据参赛作品学科分类，经评委网上评审确定晋级市级决赛作品。届时视情况确定开展网络或现场展示、答辩，由评委评审确定一、二等奖作品。晋级决赛项目评审时，网上评审（满分100分）占总成绩的30%；现场展示答辩（满分100分）占总成绩的70%。晋级市级决赛作品需提供展板、实物模型等参加展示及问辩，具体方式另行通知。</w:t>
      </w:r>
    </w:p>
    <w:p w14:paraId="06F1CA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5.知识产权保护。</w:t>
      </w:r>
    </w:p>
    <w:p w14:paraId="604344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（1）参赛者申报的作品不得侵犯其他任何第三方的专利权、著作权、商标权、名誉权或其他任何合法权益。</w:t>
      </w:r>
    </w:p>
    <w:p w14:paraId="45D487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（2）参赛者申报的作品所包含的任何文本、图片、图形、音频和（或）视频资料均受版权、商</w:t>
      </w:r>
      <w:r>
        <w:rPr>
          <w:rFonts w:hint="eastAsia" w:ascii="仿宋" w:hAnsi="仿宋" w:eastAsia="仿宋" w:cs="仿宋"/>
          <w:i w:val="0"/>
          <w:iCs w:val="0"/>
          <w:caps w:val="0"/>
          <w:color w:val="333333"/>
          <w:spacing w:val="-4"/>
          <w:sz w:val="24"/>
          <w:szCs w:val="24"/>
          <w:lang w:eastAsia="zh-CN"/>
        </w:rPr>
        <w:t>标和</w:t>
      </w:r>
      <w:r>
        <w:rPr>
          <w:rFonts w:hint="eastAsia" w:ascii="仿宋" w:hAnsi="仿宋" w:eastAsia="仿宋" w:cs="仿宋"/>
          <w:i w:val="0"/>
          <w:iCs w:val="0"/>
          <w:caps w:val="0"/>
          <w:color w:val="333333"/>
          <w:spacing w:val="-4"/>
          <w:sz w:val="24"/>
          <w:szCs w:val="24"/>
        </w:rPr>
        <w:t>其他财产所有权法律的保护，未经参赛者同意，上述资料均不得在任何媒体直接或间接发布、播放、出于播放或发布目的而改写或再发行，或者被用于其他任何商业目的；但对参赛作品内容摘要汇编、发行和参赛作品内容公益性宣传的权利属于大赛主办方。</w:t>
      </w:r>
    </w:p>
    <w:p w14:paraId="039034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6.作品学科分类及认定标准</w:t>
      </w:r>
    </w:p>
    <w:p w14:paraId="725DAB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1）按所研究的领域分为数学、物理学、化学、微生物学、环境科学、生物化学、医药与健康学、工程学、计算机科学、动物学、植物学、地球与空间科学、行为与社会科学等13个学科，涉及多个学科时，按照多学科领域作品的学科类别认定的要求，选择填写一个主要学科选项。参赛作品的学科分类及认定标准如下。</w:t>
      </w:r>
    </w:p>
    <w:p w14:paraId="738B8F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按学科分类：</w:t>
      </w:r>
    </w:p>
    <w:p w14:paraId="0452C9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①数学：包括代数、分析、组合数学、博弈论、几何与拓扑、概率与统计等。</w:t>
      </w:r>
    </w:p>
    <w:p w14:paraId="612B88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②物理与天文学：包括力学、磁学、电磁学、光学、热学、计算力学、原子物理、天体物理、凝聚态物理、等离子体物理、核与粒子物理、天文和宇宙学、生物物理、计算物理、材料物理、半导体材料、超导材料、物理演示仪器等。</w:t>
      </w:r>
    </w:p>
    <w:p w14:paraId="1553FE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③化学：包括无机化学、有机化学、物理化学、分析化学、材料化学、计算化学、环境化学、化学工程、材料工程等。</w:t>
      </w:r>
    </w:p>
    <w:p w14:paraId="44BB17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④动物学：包括动物行为学、生态学、细胞学、发育生物学、遗传学、生理学、营养和生长、分类和进化等。</w:t>
      </w:r>
    </w:p>
    <w:p w14:paraId="0826D0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⑤植物学：包括植物生长和发育、生态学、遗传学（育种）、生理学、病理学、分类和进化、农林科学等。</w:t>
      </w:r>
    </w:p>
    <w:p w14:paraId="05143D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⑥微生物学：包括应用微生物学、细菌微生物学、环境微生物学、微生物遗传学、病毒学和抗生素等。</w:t>
      </w:r>
    </w:p>
    <w:p w14:paraId="569F56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⑦生物化学与分子生物学：包括分析生物化学、医药生物化学、结构生物化学、细胞和分子遗传学、分子生物学、免疫学等。</w:t>
      </w:r>
    </w:p>
    <w:p w14:paraId="0343C7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⑧生物医学：包括细胞、组织、器官和系统生理学、疾病遗传学、营养学、病理生理学、转化医学等。</w:t>
      </w:r>
    </w:p>
    <w:p w14:paraId="6FCEA4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⑨环境科学与工程：包括大气科学、气候科学、环境对生态系统影响、地球科学、水科学、生物降解、土地开垦、水土保护和改良、水资源管理、污染控制、废物回收和管理等。</w:t>
      </w:r>
    </w:p>
    <w:p w14:paraId="751F1C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⑩计算机科学：包括互联网技术及通信、计算机制图技术、仿真/虚拟现实技术、计算科学、网络安全、数据库、操作系统、编程、物联网等。</w:t>
      </w:r>
    </w:p>
    <w:p w14:paraId="21A5A9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⑪工程学：包括航天与航空工程、土木工程、汽车工程、船舶工程、机械工程、制热与制冷工程、机器人与智能机械；电子工程、电气工程、电路、微控制器、传感器、控制系统、信号处理等。</w:t>
      </w:r>
    </w:p>
    <w:p w14:paraId="5C1805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⑫能源科学：包括替代燃料、燃料电池和电池发展、微生物燃料电池、太阳能材料、水力发电、核能、太阳能、火力发电、风能等。</w:t>
      </w:r>
    </w:p>
    <w:p w14:paraId="25B4C3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⑬行为和社会科学：包括发展心理学、认知心理学、生理心理学、社会心理学、人类学、教育学等。</w:t>
      </w:r>
    </w:p>
    <w:p w14:paraId="659F6E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（2）涉及多学科领域作品的学科类别认定</w:t>
      </w:r>
    </w:p>
    <w:p w14:paraId="4B8FE0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①涉及制作和设计的作品：作品的主要内容是设计和制作，作品应属于工程学；作品虽是设计和制作，但目的是用其收集获得了数据，并进行了分析，则该作品应属于所进行分析和研究的学科。</w:t>
      </w:r>
    </w:p>
    <w:p w14:paraId="5A54A5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②涉及动植物生活环境的作品：作品研究的是河流或池塘中的动植物生活环境，则不属动植物学而应属环境科学。</w:t>
      </w:r>
    </w:p>
    <w:p w14:paraId="517B91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③涉及动植物化石的作品：作品研究的是史前植物化石，应属植物学；作品研究的是史前动物化石，应属动物学；作品研究的是地质年代，应属地球与空间科学；作品研究的是贝壳化石的化学组成，应属化学。</w:t>
      </w:r>
    </w:p>
    <w:p w14:paraId="21C9E4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④涉及火箭及飞行器的作品：如作品研究的是火箭及飞行器燃料，应属化学；作品研究的是使用火箭及飞行器作为气象仪器的运载工具，应属地球与空间科学；作品研究是计算火箭及飞行器的轨道，应属物理学；作品研究的是火箭及飞行器加速度对小鼠的影响，应属医学与健康学。</w:t>
      </w:r>
    </w:p>
    <w:p w14:paraId="0F7D8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⑤涉及遗传学的作品：如作品研究的是DNA，应属生物化学；作品研究的是植物杂交遗传，应属植物学；作品研究的是大肠杆菌的遗传学，应属微生物学。</w:t>
      </w:r>
    </w:p>
    <w:p w14:paraId="2FA48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⑥涉及维生素的作品：如作品研究的是机体对维生素如何处理，应属生物化学；作品研究的是有关维生素的分析，应属化学；作品研究的是维生素缺乏的影响，应属医学与健康学。</w:t>
      </w:r>
    </w:p>
    <w:p w14:paraId="1B150D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⑦涉及晶体学的作品：如作品研究的是晶体的组成，应属化学；作品研究的是晶体的对称性，应属数学；作品研究的是晶格的结构，应属物理学。</w:t>
      </w:r>
    </w:p>
    <w:p w14:paraId="5151AF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⑧涉及语言和听力的作品：如作品研究的是阅读障碍，应属社会科学、作品研究的是助听器，应属工程学；作品研究的是失语症应属医学与健康学。作品研究的是语音，应属物理学。作品研究的是耳的结构应属动物学。</w:t>
      </w:r>
    </w:p>
    <w:p w14:paraId="201968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⑨涉及放射能的作品：作品研究的是使用同位素跟踪，可以是生物化学、植物学、医学与健康学以及动物学；作品研究的是对放射能进行测量，可以是地球与空间科学或物理学；作品研究的是放射能监测仪器的设计和制作，应属工程学。</w:t>
      </w:r>
    </w:p>
    <w:p w14:paraId="66A706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⑩涉及空间科学的作品：很多的作品涉及空间科学但并不归属于地球与空间科学。如失重对植物的影响，应属植物学；失重对人的影响，应属医学与健康学、开发一种封闭环境的太空舱系统应属工程学。</w:t>
      </w:r>
    </w:p>
    <w:p w14:paraId="513EA2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4"/>
          <w:sz w:val="24"/>
          <w:szCs w:val="24"/>
        </w:rPr>
      </w:pPr>
      <w:r>
        <w:rPr>
          <w:rFonts w:hint="eastAsia" w:ascii="仿宋" w:hAnsi="仿宋" w:eastAsia="仿宋" w:cs="仿宋"/>
          <w:i w:val="0"/>
          <w:iCs w:val="0"/>
          <w:caps w:val="0"/>
          <w:color w:val="333333"/>
          <w:spacing w:val="-4"/>
          <w:sz w:val="24"/>
          <w:szCs w:val="24"/>
        </w:rPr>
        <w:t>⑪涉及计算机的作品：如果计算机只作为工具使用，作品应属于其研究的学科领域。如使用计算机计算火箭轨道，应属物理学；计算某一无机化学反应的产热，应属化学；作为教学辅助工具使用，应属行为与社会科学。</w:t>
      </w:r>
    </w:p>
    <w:p w14:paraId="4452AD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p>
    <w:p w14:paraId="1F1EF6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p>
    <w:p w14:paraId="6CB0E4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p>
    <w:p w14:paraId="73A56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36" w:lineRule="auto"/>
        <w:ind w:left="0" w:right="0" w:firstLine="0"/>
        <w:jc w:val="center"/>
        <w:textAlignment w:val="auto"/>
        <w:rPr>
          <w:rFonts w:hint="eastAsia" w:ascii="等线" w:hAnsi="等线" w:eastAsia="等线" w:cs="等线"/>
          <w:i w:val="0"/>
          <w:iCs w:val="0"/>
          <w:caps w:val="0"/>
          <w:color w:val="333333"/>
          <w:spacing w:val="0"/>
          <w:sz w:val="24"/>
          <w:szCs w:val="24"/>
        </w:rPr>
      </w:pPr>
      <w:r>
        <w:rPr>
          <w:rFonts w:hint="eastAsia" w:ascii="黑体" w:hAnsi="宋体" w:eastAsia="黑体" w:cs="黑体"/>
          <w:i w:val="0"/>
          <w:iCs w:val="0"/>
          <w:caps w:val="0"/>
          <w:color w:val="333333"/>
          <w:spacing w:val="-4"/>
          <w:sz w:val="24"/>
          <w:szCs w:val="24"/>
        </w:rPr>
        <w:t>创新启蒙组赛项评审要点</w:t>
      </w:r>
    </w:p>
    <w:tbl>
      <w:tblPr>
        <w:tblStyle w:val="5"/>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6"/>
        <w:gridCol w:w="4936"/>
        <w:gridCol w:w="1347"/>
        <w:gridCol w:w="1373"/>
      </w:tblGrid>
      <w:tr w14:paraId="283119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598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left w:w="28" w:type="dxa"/>
              <w:right w:w="28" w:type="dxa"/>
            </w:tcMar>
            <w:vAlign w:val="center"/>
          </w:tcPr>
          <w:p w14:paraId="742C70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评</w:t>
            </w:r>
            <w:r>
              <w:rPr>
                <w:rFonts w:hint="default" w:ascii="Times New Roman" w:hAnsi="Times New Roman" w:eastAsia="等线" w:cs="Times New Roman"/>
                <w:spacing w:val="-4"/>
                <w:sz w:val="24"/>
                <w:szCs w:val="24"/>
              </w:rPr>
              <w:t>  </w:t>
            </w:r>
            <w:r>
              <w:rPr>
                <w:rFonts w:hint="eastAsia" w:ascii="黑体" w:hAnsi="宋体" w:eastAsia="黑体" w:cs="黑体"/>
                <w:spacing w:val="-4"/>
                <w:sz w:val="24"/>
                <w:szCs w:val="24"/>
              </w:rPr>
              <w:t>分</w:t>
            </w:r>
            <w:r>
              <w:rPr>
                <w:rFonts w:hint="default" w:ascii="Times New Roman" w:hAnsi="Times New Roman" w:eastAsia="等线" w:cs="Times New Roman"/>
                <w:spacing w:val="-4"/>
                <w:sz w:val="24"/>
                <w:szCs w:val="24"/>
              </w:rPr>
              <w:t>  </w:t>
            </w:r>
            <w:r>
              <w:rPr>
                <w:rFonts w:hint="eastAsia" w:ascii="黑体" w:hAnsi="宋体" w:eastAsia="黑体" w:cs="黑体"/>
                <w:spacing w:val="-4"/>
                <w:sz w:val="24"/>
                <w:szCs w:val="24"/>
              </w:rPr>
              <w:t>标</w:t>
            </w:r>
            <w:r>
              <w:rPr>
                <w:rFonts w:hint="default" w:ascii="Times New Roman" w:hAnsi="Times New Roman" w:eastAsia="等线" w:cs="Times New Roman"/>
                <w:spacing w:val="-4"/>
                <w:sz w:val="24"/>
                <w:szCs w:val="24"/>
              </w:rPr>
              <w:t>  </w:t>
            </w:r>
            <w:r>
              <w:rPr>
                <w:rFonts w:hint="eastAsia" w:ascii="黑体" w:hAnsi="宋体" w:eastAsia="黑体" w:cs="黑体"/>
                <w:spacing w:val="-4"/>
                <w:sz w:val="24"/>
                <w:szCs w:val="24"/>
              </w:rPr>
              <w:t>准</w:t>
            </w:r>
          </w:p>
        </w:tc>
        <w:tc>
          <w:tcPr>
            <w:tcW w:w="2862" w:type="dxa"/>
            <w:gridSpan w:val="2"/>
            <w:tcBorders>
              <w:top w:val="single" w:color="000000" w:sz="8" w:space="0"/>
              <w:left w:val="nil"/>
              <w:bottom w:val="single" w:color="000000" w:sz="8" w:space="0"/>
              <w:right w:val="single" w:color="000000" w:sz="8" w:space="0"/>
            </w:tcBorders>
            <w:shd w:val="clear" w:color="auto" w:fill="auto"/>
            <w:tcMar>
              <w:left w:w="28" w:type="dxa"/>
              <w:right w:w="28" w:type="dxa"/>
            </w:tcMar>
            <w:vAlign w:val="center"/>
          </w:tcPr>
          <w:p w14:paraId="1CFF31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评审分值</w:t>
            </w:r>
          </w:p>
        </w:tc>
      </w:tr>
      <w:tr w14:paraId="63BABF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left w:w="28" w:type="dxa"/>
              <w:right w:w="28" w:type="dxa"/>
            </w:tcMar>
            <w:vAlign w:val="center"/>
          </w:tcPr>
          <w:p w14:paraId="1D174753">
            <w:pPr>
              <w:keepNext w:val="0"/>
              <w:keepLines w:val="0"/>
              <w:pageBreakBefore w:val="0"/>
              <w:kinsoku/>
              <w:wordWrap/>
              <w:overflowPunct/>
              <w:topLinePunct w:val="0"/>
              <w:autoSpaceDE/>
              <w:autoSpaceDN/>
              <w:bidi w:val="0"/>
              <w:adjustRightInd/>
              <w:snapToGrid/>
              <w:spacing w:line="336" w:lineRule="auto"/>
              <w:textAlignment w:val="auto"/>
              <w:rPr>
                <w:rFonts w:hint="eastAsia" w:ascii="宋体"/>
                <w:sz w:val="24"/>
                <w:szCs w:val="24"/>
              </w:rPr>
            </w:pPr>
          </w:p>
        </w:tc>
        <w:tc>
          <w:tcPr>
            <w:tcW w:w="1417" w:type="dxa"/>
            <w:tcBorders>
              <w:top w:val="nil"/>
              <w:left w:val="nil"/>
              <w:bottom w:val="single" w:color="000000" w:sz="8" w:space="0"/>
              <w:right w:val="single" w:color="000000" w:sz="8" w:space="0"/>
            </w:tcBorders>
            <w:shd w:val="clear" w:color="auto" w:fill="auto"/>
            <w:tcMar>
              <w:left w:w="28" w:type="dxa"/>
              <w:right w:w="28" w:type="dxa"/>
            </w:tcMar>
            <w:vAlign w:val="center"/>
          </w:tcPr>
          <w:p w14:paraId="1A1ED8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个人项目</w:t>
            </w:r>
          </w:p>
        </w:tc>
        <w:tc>
          <w:tcPr>
            <w:tcW w:w="1445" w:type="dxa"/>
            <w:tcBorders>
              <w:top w:val="nil"/>
              <w:left w:val="nil"/>
              <w:bottom w:val="single" w:color="000000" w:sz="8" w:space="0"/>
              <w:right w:val="single" w:color="000000" w:sz="8" w:space="0"/>
            </w:tcBorders>
            <w:shd w:val="clear" w:color="auto" w:fill="auto"/>
            <w:tcMar>
              <w:left w:w="28" w:type="dxa"/>
              <w:right w:w="28" w:type="dxa"/>
            </w:tcMar>
            <w:vAlign w:val="center"/>
          </w:tcPr>
          <w:p w14:paraId="44363E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集体项目</w:t>
            </w:r>
          </w:p>
        </w:tc>
      </w:tr>
      <w:tr w14:paraId="4B70CD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39"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1D6FB873">
            <w:pPr>
              <w:spacing w:line="360" w:lineRule="exact"/>
              <w:jc w:val="center"/>
              <w:rPr>
                <w:rFonts w:ascii="仿宋" w:hAnsi="仿宋" w:eastAsia="仿宋" w:cs="宋体"/>
                <w:bCs/>
                <w:szCs w:val="21"/>
              </w:rPr>
            </w:pPr>
            <w:r>
              <w:rPr>
                <w:rFonts w:hint="eastAsia" w:ascii="仿宋" w:hAnsi="仿宋" w:eastAsia="仿宋" w:cs="宋体"/>
                <w:bCs/>
                <w:szCs w:val="21"/>
              </w:rPr>
              <w:t>创</w:t>
            </w:r>
          </w:p>
          <w:p w14:paraId="55B8E6D2">
            <w:pPr>
              <w:spacing w:line="360" w:lineRule="exact"/>
              <w:jc w:val="center"/>
              <w:rPr>
                <w:rFonts w:ascii="仿宋" w:hAnsi="仿宋" w:eastAsia="仿宋" w:cs="宋体"/>
                <w:bCs/>
                <w:szCs w:val="21"/>
              </w:rPr>
            </w:pPr>
            <w:r>
              <w:rPr>
                <w:rFonts w:hint="eastAsia" w:ascii="仿宋" w:hAnsi="仿宋" w:eastAsia="仿宋" w:cs="宋体"/>
                <w:bCs/>
                <w:szCs w:val="21"/>
              </w:rPr>
              <w:t>新</w:t>
            </w:r>
          </w:p>
          <w:p w14:paraId="6568109C">
            <w:pPr>
              <w:spacing w:line="360" w:lineRule="exact"/>
              <w:jc w:val="center"/>
              <w:rPr>
                <w:rFonts w:hint="eastAsia" w:ascii="等线" w:hAnsi="等线" w:eastAsia="等线" w:cs="等线"/>
                <w:sz w:val="24"/>
                <w:szCs w:val="24"/>
              </w:rPr>
            </w:pPr>
            <w:r>
              <w:rPr>
                <w:rFonts w:hint="eastAsia" w:ascii="仿宋" w:hAnsi="仿宋" w:eastAsia="仿宋" w:cs="宋体"/>
                <w:bCs/>
                <w:szCs w:val="21"/>
              </w:rPr>
              <w:t>性</w:t>
            </w:r>
          </w:p>
        </w:tc>
        <w:tc>
          <w:tcPr>
            <w:tcW w:w="5243" w:type="dxa"/>
            <w:tcBorders>
              <w:top w:val="nil"/>
              <w:left w:val="nil"/>
              <w:bottom w:val="single" w:color="000000" w:sz="8" w:space="0"/>
              <w:right w:val="single" w:color="000000" w:sz="8" w:space="0"/>
            </w:tcBorders>
            <w:shd w:val="clear" w:color="auto" w:fill="auto"/>
            <w:tcMar>
              <w:left w:w="28" w:type="dxa"/>
              <w:right w:w="28" w:type="dxa"/>
            </w:tcMar>
            <w:vAlign w:val="center"/>
          </w:tcPr>
          <w:p w14:paraId="423975E4">
            <w:pPr>
              <w:spacing w:line="360" w:lineRule="exact"/>
              <w:ind w:firstLine="420" w:firstLineChars="200"/>
              <w:rPr>
                <w:rFonts w:hint="eastAsia" w:ascii="等线" w:hAnsi="等线" w:eastAsia="等线" w:cs="等线"/>
                <w:sz w:val="24"/>
                <w:szCs w:val="24"/>
              </w:rPr>
            </w:pPr>
            <w:r>
              <w:rPr>
                <w:rFonts w:hint="eastAsia" w:ascii="仿宋" w:hAnsi="仿宋" w:eastAsia="仿宋" w:cs="宋体"/>
                <w:szCs w:val="21"/>
              </w:rPr>
              <w:t>项目的立意、提出的观点以及研究的方法等方面有新意、有创见。分析问题、实验设计、技术路线、数据处理方法独特。</w:t>
            </w:r>
          </w:p>
        </w:tc>
        <w:tc>
          <w:tcPr>
            <w:tcW w:w="1417" w:type="dxa"/>
            <w:tcBorders>
              <w:top w:val="nil"/>
              <w:left w:val="nil"/>
              <w:bottom w:val="single" w:color="000000" w:sz="8" w:space="0"/>
              <w:right w:val="single" w:color="000000" w:sz="8" w:space="0"/>
            </w:tcBorders>
            <w:shd w:val="clear" w:color="auto" w:fill="auto"/>
            <w:tcMar>
              <w:left w:w="28" w:type="dxa"/>
              <w:right w:w="28" w:type="dxa"/>
            </w:tcMar>
            <w:vAlign w:val="center"/>
          </w:tcPr>
          <w:p w14:paraId="18B71F9E">
            <w:pPr>
              <w:spacing w:line="360" w:lineRule="exact"/>
              <w:jc w:val="center"/>
              <w:rPr>
                <w:rFonts w:hint="eastAsia" w:ascii="等线" w:hAnsi="等线" w:eastAsia="等线" w:cs="等线"/>
                <w:sz w:val="24"/>
                <w:szCs w:val="24"/>
              </w:rPr>
            </w:pPr>
            <w:r>
              <w:rPr>
                <w:rFonts w:hint="eastAsia" w:ascii="仿宋" w:hAnsi="仿宋" w:eastAsia="仿宋"/>
                <w:b/>
                <w:bCs/>
                <w:szCs w:val="21"/>
              </w:rPr>
              <w:t>20</w:t>
            </w:r>
          </w:p>
        </w:tc>
        <w:tc>
          <w:tcPr>
            <w:tcW w:w="1445" w:type="dxa"/>
            <w:tcBorders>
              <w:top w:val="nil"/>
              <w:left w:val="nil"/>
              <w:bottom w:val="single" w:color="000000" w:sz="8" w:space="0"/>
              <w:right w:val="single" w:color="000000" w:sz="8" w:space="0"/>
            </w:tcBorders>
            <w:shd w:val="clear" w:color="auto" w:fill="auto"/>
            <w:tcMar>
              <w:left w:w="28" w:type="dxa"/>
              <w:right w:w="28" w:type="dxa"/>
            </w:tcMar>
            <w:vAlign w:val="center"/>
          </w:tcPr>
          <w:p w14:paraId="6E25637A">
            <w:pPr>
              <w:spacing w:line="360" w:lineRule="exact"/>
              <w:jc w:val="center"/>
              <w:rPr>
                <w:rFonts w:hint="eastAsia" w:ascii="等线" w:hAnsi="等线" w:eastAsia="等线" w:cs="等线"/>
                <w:sz w:val="24"/>
                <w:szCs w:val="24"/>
              </w:rPr>
            </w:pPr>
            <w:r>
              <w:rPr>
                <w:rFonts w:hint="eastAsia" w:ascii="仿宋" w:hAnsi="仿宋" w:eastAsia="仿宋"/>
                <w:b/>
                <w:bCs/>
                <w:szCs w:val="21"/>
              </w:rPr>
              <w:t>20</w:t>
            </w:r>
          </w:p>
        </w:tc>
      </w:tr>
      <w:tr w14:paraId="0F2550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39"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56A8B955">
            <w:pPr>
              <w:spacing w:line="360" w:lineRule="exact"/>
              <w:jc w:val="center"/>
              <w:rPr>
                <w:rFonts w:ascii="仿宋" w:hAnsi="仿宋" w:eastAsia="仿宋" w:cs="宋体"/>
                <w:bCs/>
                <w:szCs w:val="21"/>
              </w:rPr>
            </w:pPr>
            <w:r>
              <w:rPr>
                <w:rFonts w:hint="eastAsia" w:ascii="仿宋" w:hAnsi="仿宋" w:eastAsia="仿宋" w:cs="宋体"/>
                <w:bCs/>
                <w:szCs w:val="21"/>
              </w:rPr>
              <w:t>科</w:t>
            </w:r>
          </w:p>
          <w:p w14:paraId="4272B018">
            <w:pPr>
              <w:spacing w:line="360" w:lineRule="exact"/>
              <w:jc w:val="center"/>
              <w:rPr>
                <w:rFonts w:ascii="仿宋" w:hAnsi="仿宋" w:eastAsia="仿宋" w:cs="宋体"/>
                <w:bCs/>
                <w:szCs w:val="21"/>
              </w:rPr>
            </w:pPr>
            <w:r>
              <w:rPr>
                <w:rFonts w:hint="eastAsia" w:ascii="仿宋" w:hAnsi="仿宋" w:eastAsia="仿宋" w:cs="宋体"/>
                <w:bCs/>
                <w:szCs w:val="21"/>
              </w:rPr>
              <w:t>学</w:t>
            </w:r>
          </w:p>
          <w:p w14:paraId="3E046818">
            <w:pPr>
              <w:spacing w:line="360" w:lineRule="exact"/>
              <w:jc w:val="center"/>
              <w:rPr>
                <w:rFonts w:hint="eastAsia" w:ascii="等线" w:hAnsi="等线" w:eastAsia="等线" w:cs="等线"/>
                <w:sz w:val="24"/>
                <w:szCs w:val="24"/>
              </w:rPr>
            </w:pPr>
            <w:r>
              <w:rPr>
                <w:rFonts w:hint="eastAsia" w:ascii="仿宋" w:hAnsi="仿宋" w:eastAsia="仿宋" w:cs="宋体"/>
                <w:bCs/>
                <w:szCs w:val="21"/>
              </w:rPr>
              <w:t>性</w:t>
            </w:r>
          </w:p>
        </w:tc>
        <w:tc>
          <w:tcPr>
            <w:tcW w:w="5243" w:type="dxa"/>
            <w:tcBorders>
              <w:top w:val="nil"/>
              <w:left w:val="nil"/>
              <w:bottom w:val="single" w:color="000000" w:sz="8" w:space="0"/>
              <w:right w:val="single" w:color="000000" w:sz="8" w:space="0"/>
            </w:tcBorders>
            <w:shd w:val="clear" w:color="auto" w:fill="auto"/>
            <w:tcMar>
              <w:left w:w="28" w:type="dxa"/>
              <w:right w:w="28" w:type="dxa"/>
            </w:tcMar>
            <w:vAlign w:val="center"/>
          </w:tcPr>
          <w:p w14:paraId="00802BDD">
            <w:pPr>
              <w:spacing w:line="360" w:lineRule="exact"/>
              <w:ind w:firstLine="420" w:firstLineChars="200"/>
              <w:rPr>
                <w:rFonts w:hint="eastAsia" w:ascii="等线" w:hAnsi="等线" w:eastAsia="等线" w:cs="等线"/>
                <w:sz w:val="24"/>
                <w:szCs w:val="24"/>
              </w:rPr>
            </w:pPr>
            <w:r>
              <w:rPr>
                <w:rFonts w:hint="eastAsia" w:ascii="仿宋" w:hAnsi="仿宋" w:eastAsia="仿宋" w:cs="宋体"/>
                <w:szCs w:val="21"/>
              </w:rPr>
              <w:t>项目的选题符合客观科学规律，有科学依据，立论明确，论据充分；研究方法合理；技术方案合理；科学理论运用准确。</w:t>
            </w:r>
          </w:p>
        </w:tc>
        <w:tc>
          <w:tcPr>
            <w:tcW w:w="1417" w:type="dxa"/>
            <w:tcBorders>
              <w:top w:val="nil"/>
              <w:left w:val="nil"/>
              <w:bottom w:val="single" w:color="000000" w:sz="8" w:space="0"/>
              <w:right w:val="single" w:color="000000" w:sz="8" w:space="0"/>
            </w:tcBorders>
            <w:shd w:val="clear" w:color="auto" w:fill="auto"/>
            <w:tcMar>
              <w:left w:w="28" w:type="dxa"/>
              <w:right w:w="28" w:type="dxa"/>
            </w:tcMar>
            <w:vAlign w:val="center"/>
          </w:tcPr>
          <w:p w14:paraId="136E7A8A">
            <w:pPr>
              <w:spacing w:line="360" w:lineRule="exact"/>
              <w:jc w:val="center"/>
              <w:rPr>
                <w:rFonts w:hint="eastAsia" w:ascii="等线" w:hAnsi="等线" w:eastAsia="等线" w:cs="等线"/>
                <w:sz w:val="24"/>
                <w:szCs w:val="24"/>
              </w:rPr>
            </w:pPr>
            <w:r>
              <w:rPr>
                <w:rFonts w:ascii="仿宋" w:hAnsi="仿宋" w:eastAsia="仿宋"/>
                <w:b/>
                <w:bCs/>
                <w:szCs w:val="21"/>
              </w:rPr>
              <w:t>15</w:t>
            </w:r>
          </w:p>
        </w:tc>
        <w:tc>
          <w:tcPr>
            <w:tcW w:w="1445" w:type="dxa"/>
            <w:tcBorders>
              <w:top w:val="nil"/>
              <w:left w:val="nil"/>
              <w:bottom w:val="single" w:color="000000" w:sz="8" w:space="0"/>
              <w:right w:val="single" w:color="000000" w:sz="8" w:space="0"/>
            </w:tcBorders>
            <w:shd w:val="clear" w:color="auto" w:fill="auto"/>
            <w:tcMar>
              <w:left w:w="28" w:type="dxa"/>
              <w:right w:w="28" w:type="dxa"/>
            </w:tcMar>
            <w:vAlign w:val="center"/>
          </w:tcPr>
          <w:p w14:paraId="57FC82E2">
            <w:pPr>
              <w:spacing w:line="360" w:lineRule="exact"/>
              <w:jc w:val="center"/>
              <w:rPr>
                <w:rFonts w:hint="eastAsia" w:ascii="等线" w:hAnsi="等线" w:eastAsia="等线" w:cs="等线"/>
                <w:sz w:val="24"/>
                <w:szCs w:val="24"/>
              </w:rPr>
            </w:pPr>
            <w:r>
              <w:rPr>
                <w:rFonts w:ascii="仿宋" w:hAnsi="仿宋" w:eastAsia="仿宋"/>
                <w:b/>
                <w:bCs/>
                <w:szCs w:val="21"/>
              </w:rPr>
              <w:t>15</w:t>
            </w:r>
          </w:p>
        </w:tc>
      </w:tr>
      <w:tr w14:paraId="4FB099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39"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696DE23F">
            <w:pPr>
              <w:spacing w:line="360" w:lineRule="exact"/>
              <w:jc w:val="center"/>
              <w:rPr>
                <w:rFonts w:ascii="仿宋" w:hAnsi="仿宋" w:eastAsia="仿宋" w:cs="宋体"/>
                <w:bCs/>
                <w:szCs w:val="21"/>
              </w:rPr>
            </w:pPr>
            <w:r>
              <w:rPr>
                <w:rFonts w:hint="eastAsia" w:ascii="仿宋" w:hAnsi="仿宋" w:eastAsia="仿宋" w:cs="宋体"/>
                <w:bCs/>
                <w:szCs w:val="21"/>
              </w:rPr>
              <w:t>完</w:t>
            </w:r>
          </w:p>
          <w:p w14:paraId="58A4805C">
            <w:pPr>
              <w:spacing w:line="360" w:lineRule="exact"/>
              <w:jc w:val="center"/>
              <w:rPr>
                <w:rFonts w:ascii="仿宋" w:hAnsi="仿宋" w:eastAsia="仿宋" w:cs="宋体"/>
                <w:bCs/>
                <w:szCs w:val="21"/>
              </w:rPr>
            </w:pPr>
            <w:r>
              <w:rPr>
                <w:rFonts w:hint="eastAsia" w:ascii="仿宋" w:hAnsi="仿宋" w:eastAsia="仿宋" w:cs="宋体"/>
                <w:bCs/>
                <w:szCs w:val="21"/>
              </w:rPr>
              <w:t>整</w:t>
            </w:r>
          </w:p>
          <w:p w14:paraId="71A93F2A">
            <w:pPr>
              <w:spacing w:line="360" w:lineRule="exact"/>
              <w:jc w:val="center"/>
              <w:rPr>
                <w:rFonts w:hint="eastAsia" w:ascii="等线" w:hAnsi="等线" w:eastAsia="等线" w:cs="等线"/>
                <w:sz w:val="24"/>
                <w:szCs w:val="24"/>
              </w:rPr>
            </w:pPr>
            <w:r>
              <w:rPr>
                <w:rFonts w:hint="eastAsia" w:ascii="仿宋" w:hAnsi="仿宋" w:eastAsia="仿宋" w:cs="宋体"/>
                <w:bCs/>
                <w:szCs w:val="21"/>
              </w:rPr>
              <w:t>性</w:t>
            </w:r>
          </w:p>
        </w:tc>
        <w:tc>
          <w:tcPr>
            <w:tcW w:w="5243" w:type="dxa"/>
            <w:tcBorders>
              <w:top w:val="nil"/>
              <w:left w:val="nil"/>
              <w:bottom w:val="single" w:color="000000" w:sz="8" w:space="0"/>
              <w:right w:val="single" w:color="000000" w:sz="8" w:space="0"/>
            </w:tcBorders>
            <w:shd w:val="clear" w:color="auto" w:fill="auto"/>
            <w:tcMar>
              <w:left w:w="28" w:type="dxa"/>
              <w:right w:w="28" w:type="dxa"/>
            </w:tcMar>
            <w:vAlign w:val="center"/>
          </w:tcPr>
          <w:p w14:paraId="767B11E1">
            <w:pPr>
              <w:spacing w:line="360" w:lineRule="exact"/>
              <w:ind w:firstLine="420" w:firstLineChars="200"/>
              <w:rPr>
                <w:rFonts w:hint="eastAsia" w:ascii="等线" w:hAnsi="等线" w:eastAsia="等线" w:cs="等线"/>
                <w:sz w:val="24"/>
                <w:szCs w:val="24"/>
              </w:rPr>
            </w:pPr>
            <w:r>
              <w:rPr>
                <w:rFonts w:hint="eastAsia" w:ascii="仿宋" w:hAnsi="仿宋" w:eastAsia="仿宋" w:cs="宋体"/>
                <w:szCs w:val="21"/>
              </w:rPr>
              <w:t>项目研究达到一定阶段，有终期研究成果或阶段性研究成果；有足够的科学研究工作量（调查、实验、制作、求证等）；申报资料丰富、齐全，研究和分析数据充分，有说服力。</w:t>
            </w:r>
          </w:p>
        </w:tc>
        <w:tc>
          <w:tcPr>
            <w:tcW w:w="1417" w:type="dxa"/>
            <w:tcBorders>
              <w:top w:val="nil"/>
              <w:left w:val="nil"/>
              <w:bottom w:val="single" w:color="000000" w:sz="8" w:space="0"/>
              <w:right w:val="single" w:color="000000" w:sz="8" w:space="0"/>
            </w:tcBorders>
            <w:shd w:val="clear" w:color="auto" w:fill="auto"/>
            <w:tcMar>
              <w:left w:w="28" w:type="dxa"/>
              <w:right w:w="28" w:type="dxa"/>
            </w:tcMar>
            <w:vAlign w:val="center"/>
          </w:tcPr>
          <w:p w14:paraId="3AC2EF73">
            <w:pPr>
              <w:spacing w:line="360" w:lineRule="exact"/>
              <w:jc w:val="center"/>
              <w:rPr>
                <w:rFonts w:hint="eastAsia" w:ascii="等线" w:hAnsi="等线" w:eastAsia="等线" w:cs="等线"/>
                <w:sz w:val="24"/>
                <w:szCs w:val="24"/>
              </w:rPr>
            </w:pPr>
            <w:r>
              <w:rPr>
                <w:rFonts w:hint="eastAsia" w:ascii="仿宋" w:hAnsi="仿宋" w:eastAsia="仿宋"/>
                <w:b/>
                <w:bCs/>
                <w:szCs w:val="21"/>
              </w:rPr>
              <w:t>10</w:t>
            </w:r>
          </w:p>
        </w:tc>
        <w:tc>
          <w:tcPr>
            <w:tcW w:w="1445" w:type="dxa"/>
            <w:tcBorders>
              <w:top w:val="nil"/>
              <w:left w:val="nil"/>
              <w:bottom w:val="single" w:color="000000" w:sz="8" w:space="0"/>
              <w:right w:val="single" w:color="000000" w:sz="8" w:space="0"/>
            </w:tcBorders>
            <w:shd w:val="clear" w:color="auto" w:fill="auto"/>
            <w:tcMar>
              <w:left w:w="28" w:type="dxa"/>
              <w:right w:w="28" w:type="dxa"/>
            </w:tcMar>
            <w:vAlign w:val="center"/>
          </w:tcPr>
          <w:p w14:paraId="22EF2C46">
            <w:pPr>
              <w:spacing w:line="360" w:lineRule="exact"/>
              <w:jc w:val="center"/>
              <w:rPr>
                <w:rFonts w:hint="eastAsia" w:ascii="等线" w:hAnsi="等线" w:eastAsia="等线" w:cs="等线"/>
                <w:sz w:val="24"/>
                <w:szCs w:val="24"/>
              </w:rPr>
            </w:pPr>
            <w:r>
              <w:rPr>
                <w:rFonts w:hint="eastAsia" w:ascii="仿宋" w:hAnsi="仿宋" w:eastAsia="仿宋"/>
                <w:b/>
                <w:bCs/>
                <w:szCs w:val="21"/>
              </w:rPr>
              <w:t>10</w:t>
            </w:r>
          </w:p>
        </w:tc>
      </w:tr>
      <w:tr w14:paraId="30E170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7" w:hRule="atLeast"/>
          <w:jc w:val="center"/>
        </w:trPr>
        <w:tc>
          <w:tcPr>
            <w:tcW w:w="739"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6D5C502F">
            <w:pPr>
              <w:spacing w:line="360" w:lineRule="exact"/>
              <w:jc w:val="center"/>
              <w:rPr>
                <w:rFonts w:ascii="仿宋" w:hAnsi="仿宋" w:eastAsia="仿宋" w:cs="宋体"/>
                <w:bCs/>
                <w:szCs w:val="21"/>
              </w:rPr>
            </w:pPr>
            <w:r>
              <w:rPr>
                <w:rFonts w:hint="eastAsia" w:ascii="仿宋" w:hAnsi="仿宋" w:eastAsia="仿宋" w:cs="宋体"/>
                <w:bCs/>
                <w:szCs w:val="21"/>
              </w:rPr>
              <w:t>真</w:t>
            </w:r>
          </w:p>
          <w:p w14:paraId="1C8838AD">
            <w:pPr>
              <w:spacing w:line="360" w:lineRule="exact"/>
              <w:jc w:val="center"/>
              <w:rPr>
                <w:rFonts w:ascii="仿宋" w:hAnsi="仿宋" w:eastAsia="仿宋" w:cs="宋体"/>
                <w:bCs/>
                <w:szCs w:val="21"/>
              </w:rPr>
            </w:pPr>
            <w:r>
              <w:rPr>
                <w:rFonts w:hint="eastAsia" w:ascii="仿宋" w:hAnsi="仿宋" w:eastAsia="仿宋" w:cs="宋体"/>
                <w:bCs/>
                <w:szCs w:val="21"/>
              </w:rPr>
              <w:t>实</w:t>
            </w:r>
          </w:p>
          <w:p w14:paraId="0E182EE5">
            <w:pPr>
              <w:spacing w:line="360" w:lineRule="exact"/>
              <w:jc w:val="center"/>
              <w:rPr>
                <w:rFonts w:hint="eastAsia" w:ascii="等线" w:hAnsi="等线" w:eastAsia="等线" w:cs="等线"/>
                <w:sz w:val="24"/>
                <w:szCs w:val="24"/>
              </w:rPr>
            </w:pPr>
            <w:r>
              <w:rPr>
                <w:rFonts w:hint="eastAsia" w:ascii="仿宋" w:hAnsi="仿宋" w:eastAsia="仿宋" w:cs="宋体"/>
                <w:bCs/>
                <w:szCs w:val="21"/>
              </w:rPr>
              <w:t>性</w:t>
            </w:r>
          </w:p>
        </w:tc>
        <w:tc>
          <w:tcPr>
            <w:tcW w:w="5243" w:type="dxa"/>
            <w:tcBorders>
              <w:top w:val="nil"/>
              <w:left w:val="nil"/>
              <w:bottom w:val="single" w:color="000000" w:sz="8" w:space="0"/>
              <w:right w:val="single" w:color="000000" w:sz="8" w:space="0"/>
            </w:tcBorders>
            <w:shd w:val="clear" w:color="auto" w:fill="auto"/>
            <w:tcMar>
              <w:left w:w="28" w:type="dxa"/>
              <w:right w:w="28" w:type="dxa"/>
            </w:tcMar>
            <w:vAlign w:val="center"/>
          </w:tcPr>
          <w:p w14:paraId="1DC417FE">
            <w:pPr>
              <w:spacing w:line="360" w:lineRule="exact"/>
              <w:ind w:firstLine="420" w:firstLineChars="200"/>
              <w:rPr>
                <w:rFonts w:ascii="仿宋" w:hAnsi="仿宋" w:eastAsia="仿宋" w:cs="宋体"/>
                <w:szCs w:val="21"/>
              </w:rPr>
            </w:pPr>
            <w:r>
              <w:rPr>
                <w:rFonts w:hint="eastAsia" w:ascii="仿宋" w:hAnsi="仿宋" w:eastAsia="仿宋" w:cs="宋体"/>
                <w:szCs w:val="21"/>
              </w:rPr>
              <w:t>项目符合选手年龄段的思维方式、实施项目能力；知识结构切合所学专业领域；项目选题、实施和结论主要由学生提出和完成；选手能够准确表述项目内容及原理，真实可信。</w:t>
            </w:r>
          </w:p>
          <w:p w14:paraId="4C90BCA6">
            <w:pPr>
              <w:spacing w:line="360" w:lineRule="exact"/>
              <w:ind w:firstLine="420" w:firstLineChars="200"/>
              <w:rPr>
                <w:rFonts w:hint="eastAsia" w:ascii="等线" w:hAnsi="等线" w:eastAsia="等线" w:cs="等线"/>
                <w:sz w:val="24"/>
                <w:szCs w:val="24"/>
              </w:rPr>
            </w:pPr>
            <w:r>
              <w:rPr>
                <w:rFonts w:hint="eastAsia" w:ascii="仿宋" w:hAnsi="仿宋" w:eastAsia="仿宋" w:cs="宋体"/>
                <w:szCs w:val="21"/>
              </w:rPr>
              <w:t>对于集体项目，课题完成包括了每个成员的任务和贡献；每个成员对课题的所有方面都很熟悉；项目成果是所有成员共同努力的结果。</w:t>
            </w:r>
          </w:p>
        </w:tc>
        <w:tc>
          <w:tcPr>
            <w:tcW w:w="1417" w:type="dxa"/>
            <w:tcBorders>
              <w:top w:val="nil"/>
              <w:left w:val="nil"/>
              <w:bottom w:val="single" w:color="000000" w:sz="8" w:space="0"/>
              <w:right w:val="single" w:color="000000" w:sz="8" w:space="0"/>
            </w:tcBorders>
            <w:shd w:val="clear" w:color="auto" w:fill="auto"/>
            <w:tcMar>
              <w:left w:w="28" w:type="dxa"/>
              <w:right w:w="28" w:type="dxa"/>
            </w:tcMar>
            <w:vAlign w:val="center"/>
          </w:tcPr>
          <w:p w14:paraId="54DBD2F2">
            <w:pPr>
              <w:spacing w:line="360" w:lineRule="exact"/>
              <w:jc w:val="center"/>
              <w:rPr>
                <w:rFonts w:hint="eastAsia" w:ascii="等线" w:hAnsi="等线" w:eastAsia="等线" w:cs="等线"/>
                <w:sz w:val="24"/>
                <w:szCs w:val="24"/>
              </w:rPr>
            </w:pPr>
            <w:r>
              <w:rPr>
                <w:rFonts w:hint="eastAsia" w:ascii="仿宋" w:hAnsi="仿宋" w:eastAsia="仿宋"/>
                <w:b/>
                <w:bCs/>
                <w:szCs w:val="21"/>
              </w:rPr>
              <w:t>20</w:t>
            </w:r>
          </w:p>
        </w:tc>
        <w:tc>
          <w:tcPr>
            <w:tcW w:w="1445" w:type="dxa"/>
            <w:tcBorders>
              <w:top w:val="nil"/>
              <w:left w:val="nil"/>
              <w:bottom w:val="single" w:color="000000" w:sz="8" w:space="0"/>
              <w:right w:val="single" w:color="000000" w:sz="8" w:space="0"/>
            </w:tcBorders>
            <w:shd w:val="clear" w:color="auto" w:fill="auto"/>
            <w:tcMar>
              <w:left w:w="28" w:type="dxa"/>
              <w:right w:w="28" w:type="dxa"/>
            </w:tcMar>
            <w:vAlign w:val="center"/>
          </w:tcPr>
          <w:p w14:paraId="179AFADE">
            <w:pPr>
              <w:spacing w:line="360" w:lineRule="exact"/>
              <w:jc w:val="center"/>
              <w:rPr>
                <w:rFonts w:hint="eastAsia" w:ascii="等线" w:hAnsi="等线" w:eastAsia="等线" w:cs="等线"/>
                <w:sz w:val="24"/>
                <w:szCs w:val="24"/>
              </w:rPr>
            </w:pPr>
            <w:r>
              <w:rPr>
                <w:rFonts w:hint="eastAsia" w:ascii="仿宋" w:hAnsi="仿宋" w:eastAsia="仿宋"/>
                <w:b/>
                <w:bCs/>
                <w:szCs w:val="21"/>
              </w:rPr>
              <w:t>20</w:t>
            </w:r>
          </w:p>
        </w:tc>
      </w:tr>
      <w:tr w14:paraId="18702C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74" w:hRule="atLeast"/>
          <w:jc w:val="center"/>
        </w:trPr>
        <w:tc>
          <w:tcPr>
            <w:tcW w:w="739"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3AAF636E">
            <w:pPr>
              <w:spacing w:line="360" w:lineRule="exact"/>
              <w:jc w:val="center"/>
              <w:rPr>
                <w:rFonts w:ascii="仿宋" w:hAnsi="仿宋" w:eastAsia="仿宋" w:cs="宋体"/>
                <w:bCs/>
                <w:szCs w:val="21"/>
              </w:rPr>
            </w:pPr>
            <w:r>
              <w:rPr>
                <w:rFonts w:hint="eastAsia" w:ascii="仿宋" w:hAnsi="仿宋" w:eastAsia="仿宋" w:cs="宋体"/>
                <w:bCs/>
                <w:szCs w:val="21"/>
              </w:rPr>
              <w:t>实</w:t>
            </w:r>
          </w:p>
          <w:p w14:paraId="2C965608">
            <w:pPr>
              <w:spacing w:line="360" w:lineRule="exact"/>
              <w:jc w:val="center"/>
              <w:rPr>
                <w:rFonts w:ascii="仿宋" w:hAnsi="仿宋" w:eastAsia="仿宋" w:cs="宋体"/>
                <w:bCs/>
                <w:szCs w:val="21"/>
              </w:rPr>
            </w:pPr>
            <w:r>
              <w:rPr>
                <w:rFonts w:hint="eastAsia" w:ascii="仿宋" w:hAnsi="仿宋" w:eastAsia="仿宋" w:cs="宋体"/>
                <w:bCs/>
                <w:szCs w:val="21"/>
              </w:rPr>
              <w:t>用</w:t>
            </w:r>
          </w:p>
          <w:p w14:paraId="6FBD2B12">
            <w:pPr>
              <w:spacing w:line="360" w:lineRule="exact"/>
              <w:jc w:val="center"/>
              <w:rPr>
                <w:rFonts w:hint="eastAsia" w:ascii="等线" w:hAnsi="等线" w:eastAsia="等线" w:cs="等线"/>
                <w:sz w:val="24"/>
                <w:szCs w:val="24"/>
              </w:rPr>
            </w:pPr>
            <w:r>
              <w:rPr>
                <w:rFonts w:hint="eastAsia" w:ascii="仿宋" w:hAnsi="仿宋" w:eastAsia="仿宋" w:cs="宋体"/>
                <w:bCs/>
                <w:szCs w:val="21"/>
              </w:rPr>
              <w:t>性</w:t>
            </w:r>
          </w:p>
        </w:tc>
        <w:tc>
          <w:tcPr>
            <w:tcW w:w="5243" w:type="dxa"/>
            <w:tcBorders>
              <w:top w:val="nil"/>
              <w:left w:val="nil"/>
              <w:bottom w:val="single" w:color="000000" w:sz="8" w:space="0"/>
              <w:right w:val="single" w:color="000000" w:sz="8" w:space="0"/>
            </w:tcBorders>
            <w:shd w:val="clear" w:color="auto" w:fill="auto"/>
            <w:tcMar>
              <w:left w:w="28" w:type="dxa"/>
              <w:right w:w="28" w:type="dxa"/>
            </w:tcMar>
            <w:vAlign w:val="center"/>
          </w:tcPr>
          <w:p w14:paraId="24F01D63">
            <w:pPr>
              <w:spacing w:line="360" w:lineRule="exact"/>
              <w:ind w:firstLine="420" w:firstLineChars="200"/>
              <w:rPr>
                <w:rFonts w:hint="eastAsia" w:ascii="等线" w:hAnsi="等线" w:eastAsia="等线" w:cs="等线"/>
                <w:sz w:val="24"/>
                <w:szCs w:val="24"/>
              </w:rPr>
            </w:pPr>
            <w:r>
              <w:rPr>
                <w:rFonts w:hint="eastAsia" w:ascii="仿宋" w:hAnsi="仿宋" w:eastAsia="仿宋" w:cs="宋体"/>
                <w:szCs w:val="21"/>
              </w:rPr>
              <w:t>发明或创新的作品可以转化为产品，有可预见的社会效益、经济效益，有应用意义与推广前景。依托市级（或以上）产教融合载体：产业（企业）学院、产学研合作示范基地、优秀创新创业基地、产教融合联合体、职教集团申报的，佐证材料经真实性审核，予以优先考虑。</w:t>
            </w:r>
          </w:p>
        </w:tc>
        <w:tc>
          <w:tcPr>
            <w:tcW w:w="1417" w:type="dxa"/>
            <w:tcBorders>
              <w:top w:val="nil"/>
              <w:left w:val="nil"/>
              <w:bottom w:val="single" w:color="000000" w:sz="8" w:space="0"/>
              <w:right w:val="single" w:color="000000" w:sz="8" w:space="0"/>
            </w:tcBorders>
            <w:shd w:val="clear" w:color="auto" w:fill="auto"/>
            <w:tcMar>
              <w:left w:w="28" w:type="dxa"/>
              <w:right w:w="28" w:type="dxa"/>
            </w:tcMar>
            <w:vAlign w:val="center"/>
          </w:tcPr>
          <w:p w14:paraId="7CB87BA4">
            <w:pPr>
              <w:spacing w:line="360" w:lineRule="exact"/>
              <w:jc w:val="center"/>
              <w:rPr>
                <w:rFonts w:hint="eastAsia" w:ascii="等线" w:hAnsi="等线" w:eastAsia="等线" w:cs="等线"/>
                <w:sz w:val="24"/>
                <w:szCs w:val="24"/>
              </w:rPr>
            </w:pPr>
            <w:r>
              <w:rPr>
                <w:rFonts w:hint="eastAsia" w:ascii="仿宋" w:hAnsi="仿宋" w:eastAsia="仿宋"/>
                <w:b/>
                <w:bCs/>
                <w:szCs w:val="21"/>
              </w:rPr>
              <w:t>1</w:t>
            </w:r>
            <w:r>
              <w:rPr>
                <w:rFonts w:ascii="仿宋" w:hAnsi="仿宋" w:eastAsia="仿宋"/>
                <w:b/>
                <w:bCs/>
                <w:szCs w:val="21"/>
              </w:rPr>
              <w:t>5</w:t>
            </w:r>
          </w:p>
        </w:tc>
        <w:tc>
          <w:tcPr>
            <w:tcW w:w="1445" w:type="dxa"/>
            <w:tcBorders>
              <w:top w:val="nil"/>
              <w:left w:val="nil"/>
              <w:bottom w:val="single" w:color="000000" w:sz="8" w:space="0"/>
              <w:right w:val="single" w:color="000000" w:sz="8" w:space="0"/>
            </w:tcBorders>
            <w:shd w:val="clear" w:color="auto" w:fill="auto"/>
            <w:tcMar>
              <w:left w:w="28" w:type="dxa"/>
              <w:right w:w="28" w:type="dxa"/>
            </w:tcMar>
            <w:vAlign w:val="center"/>
          </w:tcPr>
          <w:p w14:paraId="77D6E5FA">
            <w:pPr>
              <w:spacing w:line="360" w:lineRule="exact"/>
              <w:jc w:val="center"/>
              <w:rPr>
                <w:rFonts w:hint="eastAsia" w:ascii="等线" w:hAnsi="等线" w:eastAsia="等线" w:cs="等线"/>
                <w:sz w:val="24"/>
                <w:szCs w:val="24"/>
              </w:rPr>
            </w:pPr>
            <w:r>
              <w:rPr>
                <w:rFonts w:hint="eastAsia" w:ascii="仿宋" w:hAnsi="仿宋" w:eastAsia="仿宋"/>
                <w:b/>
                <w:bCs/>
                <w:szCs w:val="21"/>
              </w:rPr>
              <w:t>1</w:t>
            </w:r>
            <w:r>
              <w:rPr>
                <w:rFonts w:ascii="仿宋" w:hAnsi="仿宋" w:eastAsia="仿宋"/>
                <w:b/>
                <w:bCs/>
                <w:szCs w:val="21"/>
              </w:rPr>
              <w:t>5</w:t>
            </w:r>
          </w:p>
        </w:tc>
      </w:tr>
      <w:tr w14:paraId="4EF993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739"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3FD7AAC8">
            <w:pPr>
              <w:spacing w:line="360" w:lineRule="exact"/>
              <w:jc w:val="center"/>
              <w:rPr>
                <w:rFonts w:hint="eastAsia" w:ascii="等线" w:hAnsi="等线" w:eastAsia="等线" w:cs="等线"/>
                <w:sz w:val="24"/>
                <w:szCs w:val="24"/>
              </w:rPr>
            </w:pPr>
            <w:r>
              <w:rPr>
                <w:rFonts w:hint="eastAsia" w:ascii="仿宋" w:hAnsi="仿宋" w:eastAsia="仿宋" w:cs="宋体"/>
                <w:bCs/>
                <w:szCs w:val="21"/>
              </w:rPr>
              <w:t>展示问辩</w:t>
            </w:r>
          </w:p>
        </w:tc>
        <w:tc>
          <w:tcPr>
            <w:tcW w:w="5243" w:type="dxa"/>
            <w:tcBorders>
              <w:top w:val="nil"/>
              <w:left w:val="nil"/>
              <w:bottom w:val="single" w:color="000000" w:sz="8" w:space="0"/>
              <w:right w:val="single" w:color="000000" w:sz="8" w:space="0"/>
            </w:tcBorders>
            <w:shd w:val="clear" w:color="auto" w:fill="auto"/>
            <w:tcMar>
              <w:left w:w="28" w:type="dxa"/>
              <w:right w:w="28" w:type="dxa"/>
            </w:tcMar>
            <w:vAlign w:val="center"/>
          </w:tcPr>
          <w:p w14:paraId="7593393B">
            <w:pPr>
              <w:spacing w:line="360" w:lineRule="exact"/>
              <w:ind w:firstLine="420" w:firstLineChars="200"/>
              <w:rPr>
                <w:rFonts w:hint="eastAsia" w:ascii="等线" w:hAnsi="等线" w:eastAsia="等线" w:cs="等线"/>
                <w:sz w:val="24"/>
                <w:szCs w:val="24"/>
              </w:rPr>
            </w:pPr>
            <w:r>
              <w:rPr>
                <w:rFonts w:hint="eastAsia" w:ascii="仿宋" w:hAnsi="仿宋" w:eastAsia="仿宋" w:cs="宋体"/>
                <w:szCs w:val="21"/>
              </w:rPr>
              <w:t>展板内容齐全，设计新颖别致，有一定制作工作量；展示资料齐全，形式多样，作品展示效果好；选手综合素质较高，应变能力强，语言、形体得当，礼貌待人。</w:t>
            </w:r>
          </w:p>
        </w:tc>
        <w:tc>
          <w:tcPr>
            <w:tcW w:w="1417" w:type="dxa"/>
            <w:tcBorders>
              <w:top w:val="nil"/>
              <w:left w:val="nil"/>
              <w:bottom w:val="single" w:color="000000" w:sz="8" w:space="0"/>
              <w:right w:val="single" w:color="000000" w:sz="8" w:space="0"/>
            </w:tcBorders>
            <w:shd w:val="clear" w:color="auto" w:fill="auto"/>
            <w:tcMar>
              <w:left w:w="28" w:type="dxa"/>
              <w:right w:w="28" w:type="dxa"/>
            </w:tcMar>
            <w:vAlign w:val="center"/>
          </w:tcPr>
          <w:p w14:paraId="622D7866">
            <w:pPr>
              <w:spacing w:line="360" w:lineRule="exact"/>
              <w:jc w:val="center"/>
              <w:rPr>
                <w:rFonts w:hint="eastAsia" w:ascii="等线" w:hAnsi="等线" w:eastAsia="等线" w:cs="等线"/>
                <w:sz w:val="24"/>
                <w:szCs w:val="24"/>
              </w:rPr>
            </w:pPr>
            <w:r>
              <w:rPr>
                <w:rFonts w:hint="eastAsia" w:ascii="仿宋" w:hAnsi="仿宋" w:eastAsia="仿宋"/>
                <w:b/>
                <w:bCs/>
                <w:szCs w:val="21"/>
              </w:rPr>
              <w:t>20</w:t>
            </w:r>
          </w:p>
        </w:tc>
        <w:tc>
          <w:tcPr>
            <w:tcW w:w="1445" w:type="dxa"/>
            <w:tcBorders>
              <w:top w:val="nil"/>
              <w:left w:val="nil"/>
              <w:bottom w:val="single" w:color="000000" w:sz="8" w:space="0"/>
              <w:right w:val="single" w:color="000000" w:sz="8" w:space="0"/>
            </w:tcBorders>
            <w:shd w:val="clear" w:color="auto" w:fill="auto"/>
            <w:tcMar>
              <w:left w:w="28" w:type="dxa"/>
              <w:right w:w="28" w:type="dxa"/>
            </w:tcMar>
            <w:vAlign w:val="center"/>
          </w:tcPr>
          <w:p w14:paraId="0FC4418A">
            <w:pPr>
              <w:spacing w:line="360" w:lineRule="exact"/>
              <w:jc w:val="center"/>
              <w:rPr>
                <w:rFonts w:hint="eastAsia" w:ascii="等线" w:hAnsi="等线" w:eastAsia="等线" w:cs="等线"/>
                <w:sz w:val="24"/>
                <w:szCs w:val="24"/>
              </w:rPr>
            </w:pPr>
            <w:r>
              <w:rPr>
                <w:rFonts w:hint="eastAsia" w:ascii="仿宋" w:hAnsi="仿宋" w:eastAsia="仿宋"/>
                <w:b/>
                <w:bCs/>
                <w:szCs w:val="21"/>
              </w:rPr>
              <w:t>20</w:t>
            </w:r>
          </w:p>
        </w:tc>
      </w:tr>
      <w:tr w14:paraId="61D22A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5982" w:type="dxa"/>
            <w:gridSpan w:val="2"/>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6B842434">
            <w:pPr>
              <w:spacing w:line="360" w:lineRule="exact"/>
              <w:jc w:val="center"/>
              <w:rPr>
                <w:rFonts w:hint="eastAsia" w:ascii="等线" w:hAnsi="等线" w:eastAsia="等线" w:cs="等线"/>
                <w:sz w:val="24"/>
                <w:szCs w:val="24"/>
              </w:rPr>
            </w:pPr>
            <w:r>
              <w:rPr>
                <w:rFonts w:hint="eastAsia" w:ascii="仿宋" w:hAnsi="仿宋" w:eastAsia="仿宋" w:cs="宋体"/>
                <w:b/>
                <w:bCs/>
                <w:szCs w:val="21"/>
              </w:rPr>
              <w:t>总  分</w:t>
            </w:r>
          </w:p>
        </w:tc>
        <w:tc>
          <w:tcPr>
            <w:tcW w:w="1417" w:type="dxa"/>
            <w:tcBorders>
              <w:top w:val="nil"/>
              <w:left w:val="nil"/>
              <w:bottom w:val="single" w:color="000000" w:sz="8" w:space="0"/>
              <w:right w:val="single" w:color="000000" w:sz="8" w:space="0"/>
            </w:tcBorders>
            <w:shd w:val="clear" w:color="auto" w:fill="auto"/>
            <w:tcMar>
              <w:left w:w="28" w:type="dxa"/>
              <w:right w:w="28" w:type="dxa"/>
            </w:tcMar>
            <w:vAlign w:val="center"/>
          </w:tcPr>
          <w:p w14:paraId="031B9ECA">
            <w:pPr>
              <w:spacing w:line="360" w:lineRule="exact"/>
              <w:jc w:val="center"/>
              <w:rPr>
                <w:rFonts w:hint="eastAsia" w:ascii="等线" w:hAnsi="等线" w:eastAsia="等线" w:cs="等线"/>
                <w:sz w:val="24"/>
                <w:szCs w:val="24"/>
              </w:rPr>
            </w:pPr>
            <w:r>
              <w:rPr>
                <w:rFonts w:hint="eastAsia" w:ascii="仿宋" w:hAnsi="仿宋" w:eastAsia="仿宋"/>
                <w:b/>
                <w:bCs/>
                <w:szCs w:val="21"/>
              </w:rPr>
              <w:t>100</w:t>
            </w:r>
            <w:r>
              <w:rPr>
                <w:rFonts w:hint="eastAsia" w:ascii="仿宋" w:hAnsi="仿宋" w:eastAsia="仿宋" w:cs="宋体"/>
                <w:b/>
                <w:bCs/>
                <w:szCs w:val="21"/>
              </w:rPr>
              <w:t>分</w:t>
            </w:r>
          </w:p>
        </w:tc>
        <w:tc>
          <w:tcPr>
            <w:tcW w:w="1445" w:type="dxa"/>
            <w:tcBorders>
              <w:top w:val="nil"/>
              <w:left w:val="nil"/>
              <w:bottom w:val="single" w:color="000000" w:sz="8" w:space="0"/>
              <w:right w:val="single" w:color="000000" w:sz="8" w:space="0"/>
            </w:tcBorders>
            <w:shd w:val="clear" w:color="auto" w:fill="auto"/>
            <w:tcMar>
              <w:left w:w="28" w:type="dxa"/>
              <w:right w:w="28" w:type="dxa"/>
            </w:tcMar>
            <w:vAlign w:val="center"/>
          </w:tcPr>
          <w:p w14:paraId="290E23C1">
            <w:pPr>
              <w:spacing w:line="360" w:lineRule="exact"/>
              <w:jc w:val="center"/>
              <w:rPr>
                <w:rFonts w:hint="eastAsia" w:ascii="等线" w:hAnsi="等线" w:eastAsia="等线" w:cs="等线"/>
                <w:sz w:val="24"/>
                <w:szCs w:val="24"/>
              </w:rPr>
            </w:pPr>
            <w:r>
              <w:rPr>
                <w:rFonts w:hint="eastAsia" w:ascii="仿宋" w:hAnsi="仿宋" w:eastAsia="仿宋"/>
                <w:b/>
                <w:bCs/>
                <w:szCs w:val="21"/>
              </w:rPr>
              <w:t>100</w:t>
            </w:r>
            <w:r>
              <w:rPr>
                <w:rFonts w:hint="eastAsia" w:ascii="仿宋" w:hAnsi="仿宋" w:eastAsia="仿宋" w:cs="宋体"/>
                <w:b/>
                <w:bCs/>
                <w:szCs w:val="21"/>
              </w:rPr>
              <w:t>分</w:t>
            </w:r>
          </w:p>
        </w:tc>
      </w:tr>
    </w:tbl>
    <w:p w14:paraId="75004472">
      <w:pPr>
        <w:keepNext w:val="0"/>
        <w:keepLines w:val="0"/>
        <w:pageBreakBefore w:val="0"/>
        <w:widowControl/>
        <w:suppressLineNumbers w:val="0"/>
        <w:kinsoku/>
        <w:wordWrap/>
        <w:overflowPunct/>
        <w:topLinePunct w:val="0"/>
        <w:autoSpaceDE/>
        <w:autoSpaceDN/>
        <w:bidi w:val="0"/>
        <w:adjustRightInd/>
        <w:snapToGrid/>
        <w:spacing w:line="336" w:lineRule="auto"/>
        <w:jc w:val="left"/>
        <w:textAlignment w:val="auto"/>
        <w:rPr>
          <w:sz w:val="24"/>
          <w:szCs w:val="24"/>
        </w:rPr>
      </w:pPr>
    </w:p>
    <w:p w14:paraId="0F7669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7"/>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4"/>
          <w:sz w:val="24"/>
          <w:szCs w:val="24"/>
        </w:rPr>
        <w:t>赛项四：实践启蒙组</w:t>
      </w:r>
    </w:p>
    <w:p w14:paraId="1BDCCC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该组别市赛通过创业计划书的撰写启蒙中职学生创新创业意识、掌握创新创业基础知识、熟悉创新创业全过程。重点考察学生发现创业机会、分析目标市场、组建创业团队、制定公司战略等创业知识、创业技能的掌握与运用能力。该组别为团队参赛项目，参赛对象限中职生，每个团队成员</w:t>
      </w:r>
      <w:r>
        <w:rPr>
          <w:rFonts w:hint="default" w:ascii="Times New Roman" w:hAnsi="Times New Roman" w:eastAsia="仿宋" w:cs="Times New Roman"/>
          <w:i w:val="0"/>
          <w:iCs w:val="0"/>
          <w:caps w:val="0"/>
          <w:color w:val="333333"/>
          <w:spacing w:val="-4"/>
          <w:sz w:val="24"/>
          <w:szCs w:val="24"/>
        </w:rPr>
        <w:t>3</w:t>
      </w:r>
      <w:r>
        <w:rPr>
          <w:rFonts w:hint="eastAsia" w:ascii="仿宋" w:hAnsi="仿宋" w:eastAsia="仿宋" w:cs="仿宋"/>
          <w:i w:val="0"/>
          <w:iCs w:val="0"/>
          <w:caps w:val="0"/>
          <w:color w:val="333333"/>
          <w:spacing w:val="-4"/>
          <w:sz w:val="24"/>
          <w:szCs w:val="24"/>
        </w:rPr>
        <w:t>人，不得跨校组队，指导教师不超过</w:t>
      </w:r>
      <w:r>
        <w:rPr>
          <w:rFonts w:hint="eastAsia" w:ascii="Times New Roman" w:eastAsia="仿宋" w:cs="Times New Roman"/>
          <w:i w:val="0"/>
          <w:iCs w:val="0"/>
          <w:caps w:val="0"/>
          <w:color w:val="333333"/>
          <w:spacing w:val="-4"/>
          <w:sz w:val="24"/>
          <w:szCs w:val="24"/>
          <w:lang w:val="en-US" w:eastAsia="zh-CN"/>
        </w:rPr>
        <w:t>2</w:t>
      </w:r>
      <w:r>
        <w:rPr>
          <w:rFonts w:hint="eastAsia" w:ascii="仿宋" w:hAnsi="仿宋" w:eastAsia="仿宋" w:cs="仿宋"/>
          <w:i w:val="0"/>
          <w:iCs w:val="0"/>
          <w:caps w:val="0"/>
          <w:color w:val="333333"/>
          <w:spacing w:val="-4"/>
          <w:sz w:val="24"/>
          <w:szCs w:val="24"/>
        </w:rPr>
        <w:t>人。</w:t>
      </w:r>
    </w:p>
    <w:p w14:paraId="755B3F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实践启蒙组项目评审市赛由商业计划书、现场展示答辩组成，总分</w:t>
      </w:r>
      <w:r>
        <w:rPr>
          <w:rFonts w:hint="default" w:ascii="Times New Roman" w:hAnsi="Times New Roman" w:eastAsia="仿宋" w:cs="Times New Roman"/>
          <w:i w:val="0"/>
          <w:iCs w:val="0"/>
          <w:caps w:val="0"/>
          <w:color w:val="333333"/>
          <w:spacing w:val="-4"/>
          <w:sz w:val="24"/>
          <w:szCs w:val="24"/>
        </w:rPr>
        <w:t>100</w:t>
      </w:r>
      <w:r>
        <w:rPr>
          <w:rFonts w:hint="eastAsia" w:ascii="仿宋" w:hAnsi="仿宋" w:eastAsia="仿宋" w:cs="仿宋"/>
          <w:i w:val="0"/>
          <w:iCs w:val="0"/>
          <w:caps w:val="0"/>
          <w:color w:val="333333"/>
          <w:spacing w:val="-4"/>
          <w:sz w:val="24"/>
          <w:szCs w:val="24"/>
        </w:rPr>
        <w:t>分。商业计划评审分两个阶段，第一阶段由评委对创业项目计划书</w:t>
      </w:r>
      <w:r>
        <w:rPr>
          <w:rFonts w:hint="eastAsia" w:ascii="仿宋" w:hAnsi="仿宋" w:eastAsia="仿宋" w:cs="仿宋"/>
          <w:i w:val="0"/>
          <w:iCs w:val="0"/>
          <w:caps w:val="0"/>
          <w:color w:val="333333"/>
          <w:spacing w:val="-4"/>
          <w:sz w:val="24"/>
          <w:szCs w:val="24"/>
          <w:lang w:eastAsia="zh-CN"/>
        </w:rPr>
        <w:t>、</w:t>
      </w:r>
      <w:r>
        <w:rPr>
          <w:rFonts w:hint="eastAsia" w:ascii="仿宋" w:hAnsi="仿宋" w:eastAsia="仿宋" w:cs="仿宋"/>
          <w:i w:val="0"/>
          <w:iCs w:val="0"/>
          <w:caps w:val="0"/>
          <w:color w:val="333333"/>
          <w:spacing w:val="-4"/>
          <w:sz w:val="24"/>
          <w:szCs w:val="24"/>
          <w:lang w:val="en-US" w:eastAsia="zh-CN"/>
        </w:rPr>
        <w:t>现场展示</w:t>
      </w:r>
      <w:r>
        <w:rPr>
          <w:rFonts w:hint="eastAsia" w:ascii="仿宋" w:hAnsi="仿宋" w:eastAsia="仿宋" w:cs="仿宋"/>
          <w:i w:val="0"/>
          <w:iCs w:val="0"/>
          <w:caps w:val="0"/>
          <w:color w:val="333333"/>
          <w:spacing w:val="-4"/>
          <w:sz w:val="24"/>
          <w:szCs w:val="24"/>
        </w:rPr>
        <w:t>进行评审，确定晋级市级决赛项目。第二阶段开展现场展示。晋级决赛项目评审时，创业项目计划书（满分</w:t>
      </w:r>
      <w:r>
        <w:rPr>
          <w:rFonts w:hint="default" w:ascii="Times New Roman" w:hAnsi="Times New Roman" w:eastAsia="仿宋" w:cs="Times New Roman"/>
          <w:i w:val="0"/>
          <w:iCs w:val="0"/>
          <w:caps w:val="0"/>
          <w:color w:val="333333"/>
          <w:spacing w:val="-4"/>
          <w:sz w:val="24"/>
          <w:szCs w:val="24"/>
        </w:rPr>
        <w:t>100</w:t>
      </w:r>
      <w:r>
        <w:rPr>
          <w:rFonts w:hint="eastAsia" w:ascii="仿宋" w:hAnsi="仿宋" w:eastAsia="仿宋" w:cs="仿宋"/>
          <w:i w:val="0"/>
          <w:iCs w:val="0"/>
          <w:caps w:val="0"/>
          <w:color w:val="333333"/>
          <w:spacing w:val="-4"/>
          <w:sz w:val="24"/>
          <w:szCs w:val="24"/>
        </w:rPr>
        <w:t>分）占总成绩的</w:t>
      </w:r>
      <w:r>
        <w:rPr>
          <w:rFonts w:hint="default" w:ascii="Times New Roman" w:hAnsi="Times New Roman" w:eastAsia="仿宋" w:cs="Times New Roman"/>
          <w:i w:val="0"/>
          <w:iCs w:val="0"/>
          <w:caps w:val="0"/>
          <w:color w:val="333333"/>
          <w:spacing w:val="-4"/>
          <w:sz w:val="24"/>
          <w:szCs w:val="24"/>
        </w:rPr>
        <w:t>30%</w:t>
      </w:r>
      <w:r>
        <w:rPr>
          <w:rFonts w:hint="eastAsia" w:ascii="仿宋" w:hAnsi="仿宋" w:eastAsia="仿宋" w:cs="仿宋"/>
          <w:i w:val="0"/>
          <w:iCs w:val="0"/>
          <w:caps w:val="0"/>
          <w:color w:val="333333"/>
          <w:spacing w:val="-4"/>
          <w:sz w:val="24"/>
          <w:szCs w:val="24"/>
        </w:rPr>
        <w:t>；现场陈述答辩（满分</w:t>
      </w:r>
      <w:r>
        <w:rPr>
          <w:rFonts w:hint="default" w:ascii="Times New Roman" w:hAnsi="Times New Roman" w:eastAsia="仿宋" w:cs="Times New Roman"/>
          <w:i w:val="0"/>
          <w:iCs w:val="0"/>
          <w:caps w:val="0"/>
          <w:color w:val="333333"/>
          <w:spacing w:val="-4"/>
          <w:sz w:val="24"/>
          <w:szCs w:val="24"/>
        </w:rPr>
        <w:t>100</w:t>
      </w:r>
      <w:r>
        <w:rPr>
          <w:rFonts w:hint="eastAsia" w:ascii="仿宋" w:hAnsi="仿宋" w:eastAsia="仿宋" w:cs="仿宋"/>
          <w:i w:val="0"/>
          <w:iCs w:val="0"/>
          <w:caps w:val="0"/>
          <w:color w:val="333333"/>
          <w:spacing w:val="-4"/>
          <w:sz w:val="24"/>
          <w:szCs w:val="24"/>
        </w:rPr>
        <w:t>分）占总成绩的</w:t>
      </w:r>
      <w:r>
        <w:rPr>
          <w:rFonts w:hint="default" w:ascii="Times New Roman" w:hAnsi="Times New Roman" w:eastAsia="仿宋" w:cs="Times New Roman"/>
          <w:i w:val="0"/>
          <w:iCs w:val="0"/>
          <w:caps w:val="0"/>
          <w:color w:val="333333"/>
          <w:spacing w:val="-4"/>
          <w:sz w:val="24"/>
          <w:szCs w:val="24"/>
        </w:rPr>
        <w:t>70%</w:t>
      </w:r>
      <w:r>
        <w:rPr>
          <w:rFonts w:hint="eastAsia" w:ascii="仿宋" w:hAnsi="仿宋" w:eastAsia="仿宋" w:cs="仿宋"/>
          <w:i w:val="0"/>
          <w:iCs w:val="0"/>
          <w:caps w:val="0"/>
          <w:color w:val="333333"/>
          <w:spacing w:val="-4"/>
          <w:sz w:val="24"/>
          <w:szCs w:val="24"/>
        </w:rPr>
        <w:t>。</w:t>
      </w:r>
    </w:p>
    <w:p w14:paraId="3359F5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1. </w:t>
      </w:r>
      <w:r>
        <w:rPr>
          <w:rFonts w:hint="eastAsia" w:ascii="仿宋" w:hAnsi="仿宋" w:eastAsia="仿宋" w:cs="仿宋"/>
          <w:i w:val="0"/>
          <w:iCs w:val="0"/>
          <w:caps w:val="0"/>
          <w:color w:val="333333"/>
          <w:spacing w:val="-4"/>
          <w:sz w:val="24"/>
          <w:szCs w:val="24"/>
        </w:rPr>
        <w:t>创业计划书。要求内容完整，条理清晰，重点突出，与现实联系紧密，可操作性强，数据科学、准确。</w:t>
      </w:r>
    </w:p>
    <w:p w14:paraId="61D7C1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2. </w:t>
      </w:r>
      <w:r>
        <w:rPr>
          <w:rFonts w:hint="eastAsia" w:ascii="仿宋" w:hAnsi="仿宋" w:eastAsia="仿宋" w:cs="仿宋"/>
          <w:i w:val="0"/>
          <w:iCs w:val="0"/>
          <w:caps w:val="0"/>
          <w:color w:val="333333"/>
          <w:spacing w:val="-4"/>
          <w:sz w:val="24"/>
          <w:szCs w:val="24"/>
        </w:rPr>
        <w:t>现场陈述答辩。由参赛团队负责人结合</w:t>
      </w:r>
      <w:r>
        <w:rPr>
          <w:rFonts w:hint="default" w:ascii="Times New Roman" w:hAnsi="Times New Roman" w:eastAsia="仿宋" w:cs="Times New Roman"/>
          <w:i w:val="0"/>
          <w:iCs w:val="0"/>
          <w:caps w:val="0"/>
          <w:color w:val="333333"/>
          <w:spacing w:val="-4"/>
          <w:sz w:val="24"/>
          <w:szCs w:val="24"/>
        </w:rPr>
        <w:t>PPT</w:t>
      </w:r>
      <w:r>
        <w:rPr>
          <w:rFonts w:hint="eastAsia" w:ascii="仿宋" w:hAnsi="仿宋" w:eastAsia="仿宋" w:cs="仿宋"/>
          <w:i w:val="0"/>
          <w:iCs w:val="0"/>
          <w:caps w:val="0"/>
          <w:color w:val="333333"/>
          <w:spacing w:val="-4"/>
          <w:sz w:val="24"/>
          <w:szCs w:val="24"/>
        </w:rPr>
        <w:t>和视频，对公司产品或服务、盈利模式、市场分析等要点进行陈述。（视频时长不超过一分钟，视频格式</w:t>
      </w:r>
      <w:r>
        <w:rPr>
          <w:rFonts w:hint="default" w:ascii="Times New Roman" w:hAnsi="Times New Roman" w:eastAsia="仿宋" w:cs="Times New Roman"/>
          <w:i w:val="0"/>
          <w:iCs w:val="0"/>
          <w:caps w:val="0"/>
          <w:color w:val="333333"/>
          <w:spacing w:val="-4"/>
          <w:sz w:val="24"/>
          <w:szCs w:val="24"/>
        </w:rPr>
        <w:t>H.264MP4</w:t>
      </w:r>
      <w:r>
        <w:rPr>
          <w:rFonts w:hint="eastAsia" w:ascii="仿宋" w:hAnsi="仿宋" w:eastAsia="仿宋" w:cs="仿宋"/>
          <w:i w:val="0"/>
          <w:iCs w:val="0"/>
          <w:caps w:val="0"/>
          <w:color w:val="333333"/>
          <w:spacing w:val="-4"/>
          <w:sz w:val="24"/>
          <w:szCs w:val="24"/>
        </w:rPr>
        <w:t>，画面流畅，声音清晰，大小不超过</w:t>
      </w:r>
      <w:r>
        <w:rPr>
          <w:rFonts w:hint="default" w:ascii="Times New Roman" w:hAnsi="Times New Roman" w:eastAsia="仿宋" w:cs="Times New Roman"/>
          <w:i w:val="0"/>
          <w:iCs w:val="0"/>
          <w:caps w:val="0"/>
          <w:color w:val="333333"/>
          <w:spacing w:val="-4"/>
          <w:sz w:val="24"/>
          <w:szCs w:val="24"/>
        </w:rPr>
        <w:t>20M</w:t>
      </w:r>
      <w:r>
        <w:rPr>
          <w:rFonts w:hint="eastAsia" w:ascii="仿宋" w:hAnsi="仿宋" w:eastAsia="仿宋" w:cs="仿宋"/>
          <w:i w:val="0"/>
          <w:iCs w:val="0"/>
          <w:caps w:val="0"/>
          <w:color w:val="333333"/>
          <w:spacing w:val="-4"/>
          <w:sz w:val="24"/>
          <w:szCs w:val="24"/>
        </w:rPr>
        <w:t>。片头注明报送学校、企业名称、负责人姓名。展示视频在省级决赛前不作硬性要求，根据团队实际情况考虑是否提交）。</w:t>
      </w:r>
      <w:r>
        <w:rPr>
          <w:rFonts w:hint="eastAsia" w:ascii="仿宋" w:hAnsi="仿宋" w:eastAsia="仿宋" w:cs="仿宋"/>
          <w:i w:val="0"/>
          <w:iCs w:val="0"/>
          <w:caps w:val="0"/>
          <w:color w:val="0000FF"/>
          <w:spacing w:val="-4"/>
          <w:sz w:val="24"/>
          <w:szCs w:val="24"/>
          <w:highlight w:val="none"/>
        </w:rPr>
        <w:t>陈述时间不超过</w:t>
      </w:r>
      <w:r>
        <w:rPr>
          <w:rFonts w:hint="default" w:ascii="Times New Roman" w:hAnsi="Times New Roman" w:eastAsia="仿宋" w:cs="Times New Roman"/>
          <w:i w:val="0"/>
          <w:iCs w:val="0"/>
          <w:caps w:val="0"/>
          <w:color w:val="0000FF"/>
          <w:spacing w:val="-4"/>
          <w:sz w:val="24"/>
          <w:szCs w:val="24"/>
          <w:highlight w:val="none"/>
        </w:rPr>
        <w:t>7</w:t>
      </w:r>
      <w:r>
        <w:rPr>
          <w:rFonts w:hint="eastAsia" w:ascii="仿宋" w:hAnsi="仿宋" w:eastAsia="仿宋" w:cs="仿宋"/>
          <w:i w:val="0"/>
          <w:iCs w:val="0"/>
          <w:caps w:val="0"/>
          <w:color w:val="0000FF"/>
          <w:spacing w:val="-4"/>
          <w:sz w:val="24"/>
          <w:szCs w:val="24"/>
          <w:highlight w:val="none"/>
        </w:rPr>
        <w:t>分钟（含视频播放时间），评委提问及选手回答时间不超过</w:t>
      </w:r>
      <w:r>
        <w:rPr>
          <w:rFonts w:hint="default" w:ascii="Times New Roman" w:hAnsi="Times New Roman" w:eastAsia="仿宋" w:cs="Times New Roman"/>
          <w:i w:val="0"/>
          <w:iCs w:val="0"/>
          <w:caps w:val="0"/>
          <w:color w:val="0000FF"/>
          <w:spacing w:val="-4"/>
          <w:sz w:val="24"/>
          <w:szCs w:val="24"/>
          <w:highlight w:val="none"/>
        </w:rPr>
        <w:t>5</w:t>
      </w:r>
      <w:r>
        <w:rPr>
          <w:rFonts w:hint="eastAsia" w:ascii="仿宋" w:hAnsi="仿宋" w:eastAsia="仿宋" w:cs="仿宋"/>
          <w:i w:val="0"/>
          <w:iCs w:val="0"/>
          <w:caps w:val="0"/>
          <w:color w:val="0000FF"/>
          <w:spacing w:val="-4"/>
          <w:sz w:val="24"/>
          <w:szCs w:val="24"/>
          <w:highlight w:val="none"/>
        </w:rPr>
        <w:t>分钟。</w:t>
      </w:r>
      <w:r>
        <w:rPr>
          <w:rFonts w:hint="eastAsia" w:ascii="仿宋" w:hAnsi="仿宋" w:eastAsia="仿宋" w:cs="仿宋"/>
          <w:i w:val="0"/>
          <w:iCs w:val="0"/>
          <w:caps w:val="0"/>
          <w:color w:val="333333"/>
          <w:spacing w:val="-4"/>
          <w:sz w:val="24"/>
          <w:szCs w:val="24"/>
        </w:rPr>
        <w:t>评分要点如下：</w:t>
      </w:r>
    </w:p>
    <w:p w14:paraId="43A111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w:t>
      </w:r>
      <w:r>
        <w:rPr>
          <w:rFonts w:hint="default" w:ascii="Times New Roman" w:hAnsi="Times New Roman" w:eastAsia="仿宋" w:cs="Times New Roman"/>
          <w:i w:val="0"/>
          <w:iCs w:val="0"/>
          <w:caps w:val="0"/>
          <w:color w:val="333333"/>
          <w:spacing w:val="-4"/>
          <w:sz w:val="24"/>
          <w:szCs w:val="24"/>
        </w:rPr>
        <w:t>1</w:t>
      </w:r>
      <w:r>
        <w:rPr>
          <w:rFonts w:hint="eastAsia" w:ascii="仿宋" w:hAnsi="仿宋" w:eastAsia="仿宋" w:cs="仿宋"/>
          <w:i w:val="0"/>
          <w:iCs w:val="0"/>
          <w:caps w:val="0"/>
          <w:color w:val="333333"/>
          <w:spacing w:val="-4"/>
          <w:sz w:val="24"/>
          <w:szCs w:val="24"/>
        </w:rPr>
        <w:t>）创业项目陈述。能结合个人兴趣、特长或专业，围绕市场机会、产品创新、公司战略、团队能力、营销策略、财务分析、风险及应对策略、社会责任等内容，有效论证项目的可行性。</w:t>
      </w:r>
    </w:p>
    <w:p w14:paraId="1F71EA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w:t>
      </w:r>
      <w:r>
        <w:rPr>
          <w:rFonts w:hint="default" w:ascii="Times New Roman" w:hAnsi="Times New Roman" w:eastAsia="仿宋" w:cs="Times New Roman"/>
          <w:i w:val="0"/>
          <w:iCs w:val="0"/>
          <w:caps w:val="0"/>
          <w:color w:val="333333"/>
          <w:spacing w:val="-4"/>
          <w:sz w:val="24"/>
          <w:szCs w:val="24"/>
        </w:rPr>
        <w:t>2</w:t>
      </w:r>
      <w:r>
        <w:rPr>
          <w:rFonts w:hint="eastAsia" w:ascii="仿宋" w:hAnsi="仿宋" w:eastAsia="仿宋" w:cs="仿宋"/>
          <w:i w:val="0"/>
          <w:iCs w:val="0"/>
          <w:caps w:val="0"/>
          <w:color w:val="333333"/>
          <w:spacing w:val="-4"/>
          <w:sz w:val="24"/>
          <w:szCs w:val="24"/>
        </w:rPr>
        <w:t>）问题回答。能全面掌握创业知识，正确理解评委的问题，对评委所提问题能及时、流畅、准确回答；对评委感兴趣的问题能充分阐述。回答问题思路清晰、逻辑严密；答辩人衣着得体，精神风貌好，展示出创业者的自信与活力。</w:t>
      </w:r>
    </w:p>
    <w:p w14:paraId="68F88B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36" w:lineRule="auto"/>
        <w:ind w:left="0" w:right="0" w:firstLine="0"/>
        <w:jc w:val="center"/>
        <w:textAlignment w:val="auto"/>
        <w:rPr>
          <w:rFonts w:hint="eastAsia" w:ascii="等线" w:hAnsi="等线" w:eastAsia="等线" w:cs="等线"/>
          <w:i w:val="0"/>
          <w:iCs w:val="0"/>
          <w:caps w:val="0"/>
          <w:color w:val="333333"/>
          <w:spacing w:val="0"/>
          <w:sz w:val="24"/>
          <w:szCs w:val="24"/>
        </w:rPr>
      </w:pPr>
      <w:r>
        <w:rPr>
          <w:rFonts w:hint="eastAsia" w:ascii="黑体" w:hAnsi="宋体" w:eastAsia="黑体" w:cs="黑体"/>
          <w:i w:val="0"/>
          <w:iCs w:val="0"/>
          <w:caps w:val="0"/>
          <w:color w:val="333333"/>
          <w:spacing w:val="-4"/>
          <w:sz w:val="24"/>
          <w:szCs w:val="24"/>
        </w:rPr>
        <w:t>商业计划评审要点</w:t>
      </w:r>
    </w:p>
    <w:tbl>
      <w:tblPr>
        <w:tblStyle w:val="5"/>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86"/>
        <w:gridCol w:w="6192"/>
        <w:gridCol w:w="884"/>
      </w:tblGrid>
      <w:tr w14:paraId="0BB986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277" w:type="dxa"/>
            <w:tcBorders>
              <w:top w:val="single" w:color="000000" w:sz="8" w:space="0"/>
              <w:left w:val="single" w:color="000000" w:sz="8" w:space="0"/>
              <w:bottom w:val="single" w:color="000000" w:sz="8" w:space="0"/>
              <w:right w:val="single" w:color="000000" w:sz="8" w:space="0"/>
            </w:tcBorders>
            <w:shd w:val="clear" w:color="auto" w:fill="auto"/>
            <w:tcMar>
              <w:left w:w="28" w:type="dxa"/>
              <w:right w:w="28" w:type="dxa"/>
            </w:tcMar>
            <w:vAlign w:val="center"/>
          </w:tcPr>
          <w:p w14:paraId="66BD33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评审要点</w:t>
            </w:r>
          </w:p>
        </w:tc>
        <w:tc>
          <w:tcPr>
            <w:tcW w:w="6151" w:type="dxa"/>
            <w:tcBorders>
              <w:top w:val="single" w:color="000000" w:sz="8" w:space="0"/>
              <w:left w:val="nil"/>
              <w:bottom w:val="single" w:color="000000" w:sz="8" w:space="0"/>
              <w:right w:val="single" w:color="000000" w:sz="8" w:space="0"/>
            </w:tcBorders>
            <w:shd w:val="clear" w:color="auto" w:fill="auto"/>
            <w:tcMar>
              <w:left w:w="28" w:type="dxa"/>
              <w:right w:w="28" w:type="dxa"/>
            </w:tcMar>
            <w:vAlign w:val="center"/>
          </w:tcPr>
          <w:p w14:paraId="781352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评审内容</w:t>
            </w:r>
          </w:p>
        </w:tc>
        <w:tc>
          <w:tcPr>
            <w:tcW w:w="878" w:type="dxa"/>
            <w:tcBorders>
              <w:top w:val="single" w:color="000000" w:sz="8" w:space="0"/>
              <w:left w:val="nil"/>
              <w:bottom w:val="single" w:color="000000" w:sz="8" w:space="0"/>
              <w:right w:val="single" w:color="000000" w:sz="8" w:space="0"/>
            </w:tcBorders>
            <w:shd w:val="clear" w:color="auto" w:fill="auto"/>
            <w:tcMar>
              <w:left w:w="28" w:type="dxa"/>
              <w:right w:w="28" w:type="dxa"/>
            </w:tcMar>
            <w:vAlign w:val="center"/>
          </w:tcPr>
          <w:p w14:paraId="6164FC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0"/>
              <w:jc w:val="center"/>
              <w:textAlignment w:val="auto"/>
              <w:rPr>
                <w:rFonts w:hint="eastAsia" w:ascii="等线" w:hAnsi="等线" w:eastAsia="等线" w:cs="等线"/>
                <w:sz w:val="24"/>
                <w:szCs w:val="24"/>
              </w:rPr>
            </w:pPr>
            <w:r>
              <w:rPr>
                <w:rFonts w:hint="eastAsia" w:ascii="黑体" w:hAnsi="宋体" w:eastAsia="黑体" w:cs="黑体"/>
                <w:spacing w:val="-4"/>
                <w:sz w:val="24"/>
                <w:szCs w:val="24"/>
              </w:rPr>
              <w:t>分数</w:t>
            </w:r>
          </w:p>
        </w:tc>
      </w:tr>
      <w:tr w14:paraId="074102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277"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24BA7947">
            <w:pPr>
              <w:spacing w:line="400" w:lineRule="exact"/>
              <w:jc w:val="center"/>
              <w:rPr>
                <w:rFonts w:hint="eastAsia" w:ascii="等线" w:hAnsi="等线" w:eastAsia="等线" w:cs="等线"/>
                <w:sz w:val="24"/>
                <w:szCs w:val="24"/>
              </w:rPr>
            </w:pPr>
            <w:r>
              <w:rPr>
                <w:bCs/>
              </w:rPr>
              <w:t>项目概述</w:t>
            </w:r>
          </w:p>
        </w:tc>
        <w:tc>
          <w:tcPr>
            <w:tcW w:w="6151" w:type="dxa"/>
            <w:tcBorders>
              <w:top w:val="nil"/>
              <w:left w:val="nil"/>
              <w:bottom w:val="single" w:color="000000" w:sz="8" w:space="0"/>
              <w:right w:val="single" w:color="000000" w:sz="8" w:space="0"/>
            </w:tcBorders>
            <w:shd w:val="clear" w:color="auto" w:fill="auto"/>
            <w:tcMar>
              <w:left w:w="28" w:type="dxa"/>
              <w:right w:w="28" w:type="dxa"/>
            </w:tcMar>
            <w:vAlign w:val="center"/>
          </w:tcPr>
          <w:p w14:paraId="3FD1F625">
            <w:pPr>
              <w:spacing w:line="340" w:lineRule="exact"/>
              <w:rPr>
                <w:rFonts w:hint="eastAsia" w:ascii="等线" w:hAnsi="等线" w:eastAsia="等线" w:cs="等线"/>
                <w:sz w:val="24"/>
                <w:szCs w:val="24"/>
              </w:rPr>
            </w:pPr>
            <w:r>
              <w:t>简要介绍公司产品或服务、竞争优势、盈利模式、投资收益及未来展望等。鼓励项目体现创意、创造和创新。</w:t>
            </w:r>
          </w:p>
        </w:tc>
        <w:tc>
          <w:tcPr>
            <w:tcW w:w="878" w:type="dxa"/>
            <w:tcBorders>
              <w:top w:val="nil"/>
              <w:left w:val="nil"/>
              <w:bottom w:val="single" w:color="000000" w:sz="8" w:space="0"/>
              <w:right w:val="single" w:color="000000" w:sz="8" w:space="0"/>
            </w:tcBorders>
            <w:shd w:val="clear" w:color="auto" w:fill="auto"/>
            <w:tcMar>
              <w:left w:w="28" w:type="dxa"/>
              <w:right w:w="28" w:type="dxa"/>
            </w:tcMar>
            <w:vAlign w:val="center"/>
          </w:tcPr>
          <w:p w14:paraId="2EFBFD1E">
            <w:pPr>
              <w:spacing w:after="289" w:afterLines="50" w:line="500" w:lineRule="exact"/>
              <w:jc w:val="center"/>
              <w:rPr>
                <w:rFonts w:hint="eastAsia" w:ascii="等线" w:hAnsi="等线" w:eastAsia="等线" w:cs="等线"/>
                <w:sz w:val="24"/>
                <w:szCs w:val="24"/>
              </w:rPr>
            </w:pPr>
            <w:r>
              <w:rPr>
                <w:rFonts w:hint="eastAsia" w:hAnsi="仿宋_GB2312" w:cs="仿宋_GB2312"/>
                <w:b/>
                <w:bCs/>
              </w:rPr>
              <w:t>12</w:t>
            </w:r>
          </w:p>
        </w:tc>
      </w:tr>
      <w:tr w14:paraId="460CCF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277"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719EB579">
            <w:pPr>
              <w:spacing w:line="340" w:lineRule="exact"/>
              <w:jc w:val="center"/>
              <w:rPr>
                <w:rFonts w:hint="eastAsia" w:ascii="等线" w:hAnsi="等线" w:eastAsia="等线" w:cs="等线"/>
                <w:sz w:val="24"/>
                <w:szCs w:val="24"/>
              </w:rPr>
            </w:pPr>
            <w:r>
              <w:rPr>
                <w:bCs/>
              </w:rPr>
              <w:t>产品/服务介绍</w:t>
            </w:r>
          </w:p>
        </w:tc>
        <w:tc>
          <w:tcPr>
            <w:tcW w:w="6151" w:type="dxa"/>
            <w:tcBorders>
              <w:top w:val="nil"/>
              <w:left w:val="nil"/>
              <w:bottom w:val="single" w:color="000000" w:sz="8" w:space="0"/>
              <w:right w:val="single" w:color="000000" w:sz="8" w:space="0"/>
            </w:tcBorders>
            <w:shd w:val="clear" w:color="auto" w:fill="auto"/>
            <w:tcMar>
              <w:left w:w="28" w:type="dxa"/>
              <w:right w:w="28" w:type="dxa"/>
            </w:tcMar>
            <w:vAlign w:val="center"/>
          </w:tcPr>
          <w:p w14:paraId="08EDF56D">
            <w:pPr>
              <w:spacing w:line="340" w:lineRule="exact"/>
              <w:rPr>
                <w:rFonts w:hint="eastAsia" w:ascii="等线" w:hAnsi="等线" w:eastAsia="等线" w:cs="等线"/>
                <w:sz w:val="24"/>
                <w:szCs w:val="24"/>
              </w:rPr>
            </w:pPr>
            <w:r>
              <w:t>准确定义产品/服务的概念、功能及特性，分析产品的创新性和市场竞争力，预测产品的市场前景等。</w:t>
            </w:r>
          </w:p>
        </w:tc>
        <w:tc>
          <w:tcPr>
            <w:tcW w:w="878" w:type="dxa"/>
            <w:tcBorders>
              <w:top w:val="nil"/>
              <w:left w:val="nil"/>
              <w:bottom w:val="single" w:color="000000" w:sz="8" w:space="0"/>
              <w:right w:val="single" w:color="000000" w:sz="8" w:space="0"/>
            </w:tcBorders>
            <w:shd w:val="clear" w:color="auto" w:fill="auto"/>
            <w:tcMar>
              <w:left w:w="28" w:type="dxa"/>
              <w:right w:w="28" w:type="dxa"/>
            </w:tcMar>
            <w:vAlign w:val="center"/>
          </w:tcPr>
          <w:p w14:paraId="2294BECC">
            <w:pPr>
              <w:spacing w:after="289" w:afterLines="50" w:line="500" w:lineRule="exact"/>
              <w:jc w:val="center"/>
              <w:rPr>
                <w:rFonts w:hint="eastAsia" w:ascii="等线" w:hAnsi="等线" w:eastAsia="等线" w:cs="等线"/>
                <w:sz w:val="24"/>
                <w:szCs w:val="24"/>
              </w:rPr>
            </w:pPr>
            <w:r>
              <w:rPr>
                <w:rFonts w:hint="eastAsia" w:hAnsi="仿宋_GB2312" w:cs="仿宋_GB2312"/>
                <w:b/>
                <w:bCs/>
              </w:rPr>
              <w:t>10</w:t>
            </w:r>
          </w:p>
        </w:tc>
      </w:tr>
      <w:tr w14:paraId="2BD3D6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277"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3999D50E">
            <w:pPr>
              <w:spacing w:line="400" w:lineRule="exact"/>
              <w:jc w:val="center"/>
              <w:rPr>
                <w:rFonts w:hint="eastAsia" w:ascii="等线" w:hAnsi="等线" w:eastAsia="等线" w:cs="等线"/>
                <w:sz w:val="24"/>
                <w:szCs w:val="24"/>
              </w:rPr>
            </w:pPr>
            <w:r>
              <w:rPr>
                <w:bCs/>
              </w:rPr>
              <w:t>市场分析</w:t>
            </w:r>
          </w:p>
        </w:tc>
        <w:tc>
          <w:tcPr>
            <w:tcW w:w="6151" w:type="dxa"/>
            <w:tcBorders>
              <w:top w:val="nil"/>
              <w:left w:val="nil"/>
              <w:bottom w:val="single" w:color="000000" w:sz="8" w:space="0"/>
              <w:right w:val="single" w:color="000000" w:sz="8" w:space="0"/>
            </w:tcBorders>
            <w:shd w:val="clear" w:color="auto" w:fill="auto"/>
            <w:tcMar>
              <w:left w:w="28" w:type="dxa"/>
              <w:right w:w="28" w:type="dxa"/>
            </w:tcMar>
            <w:vAlign w:val="center"/>
          </w:tcPr>
          <w:p w14:paraId="3D956047">
            <w:pPr>
              <w:spacing w:line="340" w:lineRule="exact"/>
              <w:rPr>
                <w:rFonts w:hint="eastAsia" w:ascii="等线" w:hAnsi="等线" w:eastAsia="等线" w:cs="等线"/>
                <w:sz w:val="24"/>
                <w:szCs w:val="24"/>
              </w:rPr>
            </w:pPr>
            <w:r>
              <w:t>在充分调研的基础上，分析行业发展前景、趋势，分析本企业产品/服务的市场状况、竞争状况、目标顾客、市场容量等。</w:t>
            </w:r>
          </w:p>
        </w:tc>
        <w:tc>
          <w:tcPr>
            <w:tcW w:w="878" w:type="dxa"/>
            <w:tcBorders>
              <w:top w:val="nil"/>
              <w:left w:val="nil"/>
              <w:bottom w:val="single" w:color="000000" w:sz="8" w:space="0"/>
              <w:right w:val="single" w:color="000000" w:sz="8" w:space="0"/>
            </w:tcBorders>
            <w:shd w:val="clear" w:color="auto" w:fill="auto"/>
            <w:tcMar>
              <w:left w:w="28" w:type="dxa"/>
              <w:right w:w="28" w:type="dxa"/>
            </w:tcMar>
            <w:vAlign w:val="center"/>
          </w:tcPr>
          <w:p w14:paraId="332F0FF7">
            <w:pPr>
              <w:spacing w:after="289" w:afterLines="50" w:line="500" w:lineRule="exact"/>
              <w:jc w:val="center"/>
              <w:rPr>
                <w:rFonts w:hint="eastAsia" w:ascii="等线" w:hAnsi="等线" w:eastAsia="等线" w:cs="等线"/>
                <w:sz w:val="24"/>
                <w:szCs w:val="24"/>
              </w:rPr>
            </w:pPr>
            <w:r>
              <w:rPr>
                <w:rFonts w:hint="eastAsia" w:hAnsi="仿宋_GB2312" w:cs="仿宋_GB2312"/>
                <w:b/>
                <w:bCs/>
              </w:rPr>
              <w:t>15</w:t>
            </w:r>
          </w:p>
        </w:tc>
      </w:tr>
      <w:tr w14:paraId="1C264B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277"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19AEEA19">
            <w:pPr>
              <w:spacing w:line="400" w:lineRule="exact"/>
              <w:jc w:val="center"/>
              <w:rPr>
                <w:rFonts w:hint="eastAsia" w:ascii="等线" w:hAnsi="等线" w:eastAsia="等线" w:cs="等线"/>
                <w:sz w:val="24"/>
                <w:szCs w:val="24"/>
              </w:rPr>
            </w:pPr>
            <w:r>
              <w:rPr>
                <w:bCs/>
              </w:rPr>
              <w:t>公司战略</w:t>
            </w:r>
          </w:p>
        </w:tc>
        <w:tc>
          <w:tcPr>
            <w:tcW w:w="6151" w:type="dxa"/>
            <w:tcBorders>
              <w:top w:val="nil"/>
              <w:left w:val="nil"/>
              <w:bottom w:val="single" w:color="000000" w:sz="8" w:space="0"/>
              <w:right w:val="single" w:color="000000" w:sz="8" w:space="0"/>
            </w:tcBorders>
            <w:shd w:val="clear" w:color="auto" w:fill="auto"/>
            <w:tcMar>
              <w:left w:w="28" w:type="dxa"/>
              <w:right w:w="28" w:type="dxa"/>
            </w:tcMar>
            <w:vAlign w:val="center"/>
          </w:tcPr>
          <w:p w14:paraId="2B350C17">
            <w:pPr>
              <w:spacing w:line="340" w:lineRule="exact"/>
              <w:rPr>
                <w:rFonts w:hint="eastAsia" w:ascii="等线" w:hAnsi="等线" w:eastAsia="等线" w:cs="等线"/>
                <w:sz w:val="24"/>
                <w:szCs w:val="24"/>
              </w:rPr>
            </w:pPr>
            <w:r>
              <w:t>结合竞争优势制定公司发展计划与目标，说明产品研发方向和产品线扩张策略，分析主要的合作伙伴和竞争对手等。</w:t>
            </w:r>
          </w:p>
        </w:tc>
        <w:tc>
          <w:tcPr>
            <w:tcW w:w="878" w:type="dxa"/>
            <w:tcBorders>
              <w:top w:val="nil"/>
              <w:left w:val="nil"/>
              <w:bottom w:val="single" w:color="000000" w:sz="8" w:space="0"/>
              <w:right w:val="single" w:color="000000" w:sz="8" w:space="0"/>
            </w:tcBorders>
            <w:shd w:val="clear" w:color="auto" w:fill="auto"/>
            <w:tcMar>
              <w:left w:w="28" w:type="dxa"/>
              <w:right w:w="28" w:type="dxa"/>
            </w:tcMar>
            <w:vAlign w:val="center"/>
          </w:tcPr>
          <w:p w14:paraId="7708B1B2">
            <w:pPr>
              <w:spacing w:after="289" w:afterLines="50" w:line="500" w:lineRule="exact"/>
              <w:jc w:val="center"/>
              <w:rPr>
                <w:rFonts w:hint="eastAsia" w:ascii="等线" w:hAnsi="等线" w:eastAsia="等线" w:cs="等线"/>
                <w:sz w:val="24"/>
                <w:szCs w:val="24"/>
              </w:rPr>
            </w:pPr>
            <w:r>
              <w:rPr>
                <w:rFonts w:hint="eastAsia" w:hAnsi="仿宋_GB2312" w:cs="仿宋_GB2312"/>
                <w:b/>
                <w:bCs/>
              </w:rPr>
              <w:t>10</w:t>
            </w:r>
          </w:p>
        </w:tc>
      </w:tr>
      <w:tr w14:paraId="150FDC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277"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382421A7">
            <w:pPr>
              <w:spacing w:line="400" w:lineRule="exact"/>
              <w:jc w:val="center"/>
              <w:rPr>
                <w:rFonts w:hint="eastAsia" w:ascii="等线" w:hAnsi="等线" w:eastAsia="等线" w:cs="等线"/>
                <w:sz w:val="24"/>
                <w:szCs w:val="24"/>
              </w:rPr>
            </w:pPr>
            <w:r>
              <w:rPr>
                <w:bCs/>
              </w:rPr>
              <w:t>管理团队</w:t>
            </w:r>
          </w:p>
        </w:tc>
        <w:tc>
          <w:tcPr>
            <w:tcW w:w="6151" w:type="dxa"/>
            <w:tcBorders>
              <w:top w:val="nil"/>
              <w:left w:val="nil"/>
              <w:bottom w:val="single" w:color="000000" w:sz="8" w:space="0"/>
              <w:right w:val="single" w:color="000000" w:sz="8" w:space="0"/>
            </w:tcBorders>
            <w:shd w:val="clear" w:color="auto" w:fill="auto"/>
            <w:tcMar>
              <w:left w:w="28" w:type="dxa"/>
              <w:right w:w="28" w:type="dxa"/>
            </w:tcMar>
            <w:vAlign w:val="center"/>
          </w:tcPr>
          <w:p w14:paraId="6B2624A6">
            <w:pPr>
              <w:spacing w:line="340" w:lineRule="exact"/>
              <w:rPr>
                <w:rFonts w:hint="eastAsia" w:ascii="等线" w:hAnsi="等线" w:eastAsia="等线" w:cs="等线"/>
                <w:sz w:val="24"/>
                <w:szCs w:val="24"/>
              </w:rPr>
            </w:pPr>
            <w:r>
              <w:t>突出团队成员所具有的能力，明晰公司组织架构、股权结构、人员配置及岗位职责。</w:t>
            </w:r>
          </w:p>
        </w:tc>
        <w:tc>
          <w:tcPr>
            <w:tcW w:w="878" w:type="dxa"/>
            <w:tcBorders>
              <w:top w:val="nil"/>
              <w:left w:val="nil"/>
              <w:bottom w:val="single" w:color="000000" w:sz="8" w:space="0"/>
              <w:right w:val="single" w:color="000000" w:sz="8" w:space="0"/>
            </w:tcBorders>
            <w:shd w:val="clear" w:color="auto" w:fill="auto"/>
            <w:tcMar>
              <w:left w:w="28" w:type="dxa"/>
              <w:right w:w="28" w:type="dxa"/>
            </w:tcMar>
            <w:vAlign w:val="center"/>
          </w:tcPr>
          <w:p w14:paraId="59A6B3AC">
            <w:pPr>
              <w:spacing w:after="289" w:afterLines="50" w:line="500" w:lineRule="exact"/>
              <w:jc w:val="center"/>
              <w:rPr>
                <w:rFonts w:hint="eastAsia" w:ascii="等线" w:hAnsi="等线" w:eastAsia="等线" w:cs="等线"/>
                <w:sz w:val="24"/>
                <w:szCs w:val="24"/>
              </w:rPr>
            </w:pPr>
            <w:r>
              <w:rPr>
                <w:rFonts w:hint="eastAsia" w:hAnsi="仿宋_GB2312" w:cs="仿宋_GB2312"/>
                <w:b/>
                <w:bCs/>
              </w:rPr>
              <w:t>10</w:t>
            </w:r>
          </w:p>
        </w:tc>
      </w:tr>
      <w:tr w14:paraId="0DCD98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277"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68D0DF61">
            <w:pPr>
              <w:spacing w:line="400" w:lineRule="exact"/>
              <w:jc w:val="center"/>
              <w:rPr>
                <w:rFonts w:hint="eastAsia" w:ascii="等线" w:hAnsi="等线" w:eastAsia="等线" w:cs="等线"/>
                <w:sz w:val="24"/>
                <w:szCs w:val="24"/>
              </w:rPr>
            </w:pPr>
            <w:r>
              <w:rPr>
                <w:bCs/>
              </w:rPr>
              <w:t>营销策略</w:t>
            </w:r>
          </w:p>
        </w:tc>
        <w:tc>
          <w:tcPr>
            <w:tcW w:w="6151" w:type="dxa"/>
            <w:tcBorders>
              <w:top w:val="nil"/>
              <w:left w:val="nil"/>
              <w:bottom w:val="single" w:color="000000" w:sz="8" w:space="0"/>
              <w:right w:val="single" w:color="000000" w:sz="8" w:space="0"/>
            </w:tcBorders>
            <w:shd w:val="clear" w:color="auto" w:fill="auto"/>
            <w:tcMar>
              <w:left w:w="28" w:type="dxa"/>
              <w:right w:w="28" w:type="dxa"/>
            </w:tcMar>
            <w:vAlign w:val="center"/>
          </w:tcPr>
          <w:p w14:paraId="4853F575">
            <w:pPr>
              <w:spacing w:line="340" w:lineRule="exact"/>
              <w:rPr>
                <w:rFonts w:hint="eastAsia" w:ascii="等线" w:hAnsi="等线" w:eastAsia="等线" w:cs="等线"/>
                <w:sz w:val="24"/>
                <w:szCs w:val="24"/>
              </w:rPr>
            </w:pPr>
            <w:r>
              <w:t>根据项目特点，分析消费者的特点、产品的特性，制定恰当的价格，选择合适的渠道，制定适合本企业的营销推广策略。</w:t>
            </w:r>
          </w:p>
        </w:tc>
        <w:tc>
          <w:tcPr>
            <w:tcW w:w="878" w:type="dxa"/>
            <w:tcBorders>
              <w:top w:val="nil"/>
              <w:left w:val="nil"/>
              <w:bottom w:val="single" w:color="000000" w:sz="8" w:space="0"/>
              <w:right w:val="single" w:color="000000" w:sz="8" w:space="0"/>
            </w:tcBorders>
            <w:shd w:val="clear" w:color="auto" w:fill="auto"/>
            <w:tcMar>
              <w:left w:w="28" w:type="dxa"/>
              <w:right w:w="28" w:type="dxa"/>
            </w:tcMar>
            <w:vAlign w:val="center"/>
          </w:tcPr>
          <w:p w14:paraId="648438D1">
            <w:pPr>
              <w:spacing w:after="289" w:afterLines="50" w:line="500" w:lineRule="exact"/>
              <w:jc w:val="center"/>
              <w:rPr>
                <w:rFonts w:hint="eastAsia" w:ascii="等线" w:hAnsi="等线" w:eastAsia="等线" w:cs="等线"/>
                <w:sz w:val="24"/>
                <w:szCs w:val="24"/>
              </w:rPr>
            </w:pPr>
            <w:r>
              <w:rPr>
                <w:rFonts w:hint="eastAsia" w:hAnsi="仿宋_GB2312" w:cs="仿宋_GB2312"/>
                <w:b/>
                <w:bCs/>
              </w:rPr>
              <w:t>15</w:t>
            </w:r>
          </w:p>
        </w:tc>
      </w:tr>
      <w:tr w14:paraId="0466E4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277"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44855C5F">
            <w:pPr>
              <w:spacing w:line="400" w:lineRule="exact"/>
              <w:jc w:val="center"/>
              <w:rPr>
                <w:rFonts w:hint="eastAsia" w:ascii="等线" w:hAnsi="等线" w:eastAsia="等线" w:cs="等线"/>
                <w:sz w:val="24"/>
                <w:szCs w:val="24"/>
              </w:rPr>
            </w:pPr>
            <w:r>
              <w:rPr>
                <w:bCs/>
              </w:rPr>
              <w:t>财务分析</w:t>
            </w:r>
          </w:p>
        </w:tc>
        <w:tc>
          <w:tcPr>
            <w:tcW w:w="6151" w:type="dxa"/>
            <w:tcBorders>
              <w:top w:val="nil"/>
              <w:left w:val="nil"/>
              <w:bottom w:val="single" w:color="000000" w:sz="8" w:space="0"/>
              <w:right w:val="single" w:color="000000" w:sz="8" w:space="0"/>
            </w:tcBorders>
            <w:shd w:val="clear" w:color="auto" w:fill="auto"/>
            <w:tcMar>
              <w:left w:w="28" w:type="dxa"/>
              <w:right w:w="28" w:type="dxa"/>
            </w:tcMar>
            <w:vAlign w:val="center"/>
          </w:tcPr>
          <w:p w14:paraId="3D634395">
            <w:pPr>
              <w:spacing w:line="340" w:lineRule="exact"/>
              <w:rPr>
                <w:rFonts w:hint="eastAsia" w:ascii="等线" w:hAnsi="等线" w:eastAsia="等线" w:cs="等线"/>
                <w:sz w:val="24"/>
                <w:szCs w:val="24"/>
              </w:rPr>
            </w:pPr>
            <w:r>
              <w:t>合理确定资金结构和规模，资金的取得与运用经济合理，投资预算表、预计利润表齐全，定期进行项目盈利能力分析。</w:t>
            </w:r>
          </w:p>
        </w:tc>
        <w:tc>
          <w:tcPr>
            <w:tcW w:w="878" w:type="dxa"/>
            <w:tcBorders>
              <w:top w:val="nil"/>
              <w:left w:val="nil"/>
              <w:bottom w:val="single" w:color="000000" w:sz="8" w:space="0"/>
              <w:right w:val="single" w:color="000000" w:sz="8" w:space="0"/>
            </w:tcBorders>
            <w:shd w:val="clear" w:color="auto" w:fill="auto"/>
            <w:tcMar>
              <w:left w:w="28" w:type="dxa"/>
              <w:right w:w="28" w:type="dxa"/>
            </w:tcMar>
            <w:vAlign w:val="center"/>
          </w:tcPr>
          <w:p w14:paraId="5E31D0B1">
            <w:pPr>
              <w:spacing w:after="289" w:afterLines="50" w:line="500" w:lineRule="exact"/>
              <w:jc w:val="center"/>
              <w:rPr>
                <w:rFonts w:hint="eastAsia" w:ascii="等线" w:hAnsi="等线" w:eastAsia="等线" w:cs="等线"/>
                <w:sz w:val="24"/>
                <w:szCs w:val="24"/>
              </w:rPr>
            </w:pPr>
            <w:r>
              <w:rPr>
                <w:rFonts w:hint="eastAsia" w:hAnsi="仿宋_GB2312" w:cs="仿宋_GB2312"/>
                <w:b/>
                <w:bCs/>
              </w:rPr>
              <w:t>18</w:t>
            </w:r>
          </w:p>
        </w:tc>
      </w:tr>
      <w:tr w14:paraId="6468A3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277"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4BD96D63">
            <w:pPr>
              <w:spacing w:line="340" w:lineRule="exact"/>
              <w:jc w:val="center"/>
              <w:rPr>
                <w:rFonts w:hint="eastAsia" w:ascii="等线" w:hAnsi="等线" w:eastAsia="等线" w:cs="等线"/>
                <w:sz w:val="24"/>
                <w:szCs w:val="24"/>
              </w:rPr>
            </w:pPr>
            <w:r>
              <w:rPr>
                <w:bCs/>
              </w:rPr>
              <w:t>风险及应对策略</w:t>
            </w:r>
          </w:p>
        </w:tc>
        <w:tc>
          <w:tcPr>
            <w:tcW w:w="6151" w:type="dxa"/>
            <w:tcBorders>
              <w:top w:val="nil"/>
              <w:left w:val="nil"/>
              <w:bottom w:val="single" w:color="000000" w:sz="8" w:space="0"/>
              <w:right w:val="single" w:color="000000" w:sz="8" w:space="0"/>
            </w:tcBorders>
            <w:shd w:val="clear" w:color="auto" w:fill="auto"/>
            <w:tcMar>
              <w:left w:w="28" w:type="dxa"/>
              <w:right w:w="28" w:type="dxa"/>
            </w:tcMar>
            <w:vAlign w:val="center"/>
          </w:tcPr>
          <w:p w14:paraId="1524EF9B">
            <w:pPr>
              <w:spacing w:line="340" w:lineRule="exact"/>
              <w:rPr>
                <w:rFonts w:hint="eastAsia" w:ascii="等线" w:hAnsi="等线" w:eastAsia="等线" w:cs="等线"/>
                <w:sz w:val="24"/>
                <w:szCs w:val="24"/>
              </w:rPr>
            </w:pPr>
            <w:r>
              <w:t>客观分析本项目可能面临的技术、市场、财务等风险问题，提出可行的规避计划。</w:t>
            </w:r>
          </w:p>
        </w:tc>
        <w:tc>
          <w:tcPr>
            <w:tcW w:w="878" w:type="dxa"/>
            <w:tcBorders>
              <w:top w:val="nil"/>
              <w:left w:val="nil"/>
              <w:bottom w:val="single" w:color="000000" w:sz="8" w:space="0"/>
              <w:right w:val="single" w:color="000000" w:sz="8" w:space="0"/>
            </w:tcBorders>
            <w:shd w:val="clear" w:color="auto" w:fill="auto"/>
            <w:tcMar>
              <w:left w:w="28" w:type="dxa"/>
              <w:right w:w="28" w:type="dxa"/>
            </w:tcMar>
            <w:vAlign w:val="center"/>
          </w:tcPr>
          <w:p w14:paraId="5CF2F44A">
            <w:pPr>
              <w:spacing w:after="289" w:afterLines="50" w:line="500" w:lineRule="exact"/>
              <w:jc w:val="center"/>
              <w:rPr>
                <w:rFonts w:hint="eastAsia" w:ascii="等线" w:hAnsi="等线" w:eastAsia="等线" w:cs="等线"/>
                <w:sz w:val="24"/>
                <w:szCs w:val="24"/>
              </w:rPr>
            </w:pPr>
            <w:r>
              <w:rPr>
                <w:rFonts w:hint="eastAsia" w:hAnsi="仿宋_GB2312" w:cs="仿宋_GB2312"/>
                <w:b/>
                <w:bCs/>
              </w:rPr>
              <w:t>5</w:t>
            </w:r>
          </w:p>
        </w:tc>
      </w:tr>
      <w:tr w14:paraId="309564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1277"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14:paraId="26DC1162">
            <w:pPr>
              <w:spacing w:line="400" w:lineRule="exact"/>
              <w:jc w:val="center"/>
              <w:rPr>
                <w:rFonts w:hint="eastAsia" w:ascii="等线" w:hAnsi="等线" w:eastAsia="等线" w:cs="等线"/>
                <w:sz w:val="24"/>
                <w:szCs w:val="24"/>
              </w:rPr>
            </w:pPr>
            <w:r>
              <w:rPr>
                <w:bCs/>
              </w:rPr>
              <w:t>社会责任</w:t>
            </w:r>
          </w:p>
        </w:tc>
        <w:tc>
          <w:tcPr>
            <w:tcW w:w="6151" w:type="dxa"/>
            <w:tcBorders>
              <w:top w:val="nil"/>
              <w:left w:val="nil"/>
              <w:bottom w:val="single" w:color="000000" w:sz="8" w:space="0"/>
              <w:right w:val="single" w:color="000000" w:sz="8" w:space="0"/>
            </w:tcBorders>
            <w:shd w:val="clear" w:color="auto" w:fill="auto"/>
            <w:tcMar>
              <w:left w:w="28" w:type="dxa"/>
              <w:right w:w="28" w:type="dxa"/>
            </w:tcMar>
            <w:vAlign w:val="center"/>
          </w:tcPr>
          <w:p w14:paraId="50FECB70">
            <w:pPr>
              <w:spacing w:line="340" w:lineRule="exact"/>
              <w:rPr>
                <w:rFonts w:hint="eastAsia" w:ascii="等线" w:hAnsi="等线" w:eastAsia="等线" w:cs="等线"/>
                <w:sz w:val="24"/>
                <w:szCs w:val="24"/>
              </w:rPr>
            </w:pPr>
            <w:r>
              <w:t>企业做到合法经营、诚实守信，树立可持续发展的理念，积极参与公益活动，具有一定的社会责任感。</w:t>
            </w:r>
          </w:p>
        </w:tc>
        <w:tc>
          <w:tcPr>
            <w:tcW w:w="878" w:type="dxa"/>
            <w:tcBorders>
              <w:top w:val="nil"/>
              <w:left w:val="nil"/>
              <w:bottom w:val="single" w:color="000000" w:sz="8" w:space="0"/>
              <w:right w:val="single" w:color="000000" w:sz="8" w:space="0"/>
            </w:tcBorders>
            <w:shd w:val="clear" w:color="auto" w:fill="auto"/>
            <w:tcMar>
              <w:left w:w="28" w:type="dxa"/>
              <w:right w:w="28" w:type="dxa"/>
            </w:tcMar>
            <w:vAlign w:val="center"/>
          </w:tcPr>
          <w:p w14:paraId="12649E4F">
            <w:pPr>
              <w:spacing w:after="289" w:afterLines="50" w:line="500" w:lineRule="exact"/>
              <w:jc w:val="center"/>
              <w:rPr>
                <w:rFonts w:hint="eastAsia" w:ascii="等线" w:hAnsi="等线" w:eastAsia="等线" w:cs="等线"/>
                <w:sz w:val="24"/>
                <w:szCs w:val="24"/>
              </w:rPr>
            </w:pPr>
            <w:r>
              <w:rPr>
                <w:rFonts w:hint="eastAsia" w:hAnsi="仿宋_GB2312" w:cs="仿宋_GB2312"/>
                <w:b/>
                <w:bCs/>
              </w:rPr>
              <w:t>5</w:t>
            </w:r>
          </w:p>
        </w:tc>
      </w:tr>
    </w:tbl>
    <w:p w14:paraId="798A50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4"/>
          <w:sz w:val="24"/>
          <w:szCs w:val="24"/>
        </w:rPr>
        <w:t>二、竞赛评委</w:t>
      </w:r>
    </w:p>
    <w:p w14:paraId="0D2C1A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竞赛评委由大赛组委会聘请高校和科研院所创业导师、投资机构负责人、创业孵化机构负责人、企业优秀负责人、公益组织负责人、项目专家等人员组成。</w:t>
      </w:r>
    </w:p>
    <w:p w14:paraId="666F0D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4"/>
          <w:sz w:val="24"/>
          <w:szCs w:val="24"/>
        </w:rPr>
        <w:t>三、竞赛规则及注意事项</w:t>
      </w:r>
    </w:p>
    <w:p w14:paraId="225BFD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4"/>
          <w:sz w:val="24"/>
          <w:szCs w:val="24"/>
        </w:rPr>
        <w:t>（一）竞赛规则</w:t>
      </w:r>
    </w:p>
    <w:p w14:paraId="4723D6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Times New Roman" w:eastAsia="仿宋" w:cs="Times New Roman"/>
          <w:i w:val="0"/>
          <w:iCs w:val="0"/>
          <w:caps w:val="0"/>
          <w:color w:val="333333"/>
          <w:spacing w:val="-4"/>
          <w:sz w:val="24"/>
          <w:szCs w:val="24"/>
          <w:lang w:val="en-US" w:eastAsia="zh-CN"/>
        </w:rPr>
        <w:t>1</w:t>
      </w:r>
      <w:r>
        <w:rPr>
          <w:rFonts w:hint="default" w:ascii="Times New Roman" w:hAnsi="Times New Roman" w:eastAsia="仿宋" w:cs="Times New Roman"/>
          <w:i w:val="0"/>
          <w:iCs w:val="0"/>
          <w:caps w:val="0"/>
          <w:color w:val="333333"/>
          <w:spacing w:val="-4"/>
          <w:sz w:val="24"/>
          <w:szCs w:val="24"/>
        </w:rPr>
        <w:t>. </w:t>
      </w:r>
      <w:r>
        <w:rPr>
          <w:rFonts w:hint="eastAsia" w:ascii="仿宋" w:hAnsi="仿宋" w:eastAsia="仿宋" w:cs="仿宋"/>
          <w:i w:val="0"/>
          <w:iCs w:val="0"/>
          <w:caps w:val="0"/>
          <w:color w:val="333333"/>
          <w:spacing w:val="-4"/>
          <w:sz w:val="24"/>
          <w:szCs w:val="24"/>
        </w:rPr>
        <w:t>参赛选手必须按竞赛时间，在比赛正式开始</w:t>
      </w:r>
      <w:r>
        <w:rPr>
          <w:rFonts w:hint="default" w:ascii="Times New Roman" w:hAnsi="Times New Roman" w:eastAsia="仿宋" w:cs="Times New Roman"/>
          <w:i w:val="0"/>
          <w:iCs w:val="0"/>
          <w:caps w:val="0"/>
          <w:color w:val="333333"/>
          <w:spacing w:val="-4"/>
          <w:sz w:val="24"/>
          <w:szCs w:val="24"/>
        </w:rPr>
        <w:t>30</w:t>
      </w:r>
      <w:r>
        <w:rPr>
          <w:rFonts w:hint="eastAsia" w:ascii="仿宋" w:hAnsi="仿宋" w:eastAsia="仿宋" w:cs="仿宋"/>
          <w:i w:val="0"/>
          <w:iCs w:val="0"/>
          <w:caps w:val="0"/>
          <w:color w:val="333333"/>
          <w:spacing w:val="-4"/>
          <w:sz w:val="24"/>
          <w:szCs w:val="24"/>
        </w:rPr>
        <w:t>分钟前检录并进入赛场候考区，比赛开始后停止检录，未检录的项目视为弃权处理。机器人专项赛进场时间以公布的竞赛规则为准。</w:t>
      </w:r>
    </w:p>
    <w:p w14:paraId="71312C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Times New Roman" w:eastAsia="仿宋" w:cs="Times New Roman"/>
          <w:i w:val="0"/>
          <w:iCs w:val="0"/>
          <w:caps w:val="0"/>
          <w:color w:val="333333"/>
          <w:spacing w:val="-4"/>
          <w:sz w:val="24"/>
          <w:szCs w:val="24"/>
          <w:lang w:val="en-US" w:eastAsia="zh-CN"/>
        </w:rPr>
        <w:t>2</w:t>
      </w:r>
      <w:r>
        <w:rPr>
          <w:rFonts w:hint="default" w:ascii="Times New Roman" w:hAnsi="Times New Roman" w:eastAsia="仿宋" w:cs="Times New Roman"/>
          <w:i w:val="0"/>
          <w:iCs w:val="0"/>
          <w:caps w:val="0"/>
          <w:color w:val="333333"/>
          <w:spacing w:val="-4"/>
          <w:sz w:val="24"/>
          <w:szCs w:val="24"/>
        </w:rPr>
        <w:t>. </w:t>
      </w:r>
      <w:r>
        <w:rPr>
          <w:rFonts w:hint="eastAsia" w:ascii="仿宋" w:hAnsi="仿宋" w:eastAsia="仿宋" w:cs="仿宋"/>
          <w:i w:val="0"/>
          <w:iCs w:val="0"/>
          <w:caps w:val="0"/>
          <w:color w:val="333333"/>
          <w:spacing w:val="-4"/>
          <w:sz w:val="24"/>
          <w:szCs w:val="24"/>
        </w:rPr>
        <w:t>参赛选手比赛顺序由抽签决定，不得擅自变更。</w:t>
      </w:r>
    </w:p>
    <w:p w14:paraId="4461D8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Times New Roman" w:eastAsia="仿宋" w:cs="Times New Roman"/>
          <w:i w:val="0"/>
          <w:iCs w:val="0"/>
          <w:caps w:val="0"/>
          <w:color w:val="333333"/>
          <w:spacing w:val="-4"/>
          <w:sz w:val="24"/>
          <w:szCs w:val="24"/>
          <w:lang w:val="en-US" w:eastAsia="zh-CN"/>
        </w:rPr>
        <w:t>3</w:t>
      </w:r>
      <w:r>
        <w:rPr>
          <w:rFonts w:hint="default" w:ascii="Times New Roman" w:hAnsi="Times New Roman" w:eastAsia="仿宋" w:cs="Times New Roman"/>
          <w:i w:val="0"/>
          <w:iCs w:val="0"/>
          <w:caps w:val="0"/>
          <w:color w:val="333333"/>
          <w:spacing w:val="-4"/>
          <w:sz w:val="24"/>
          <w:szCs w:val="24"/>
        </w:rPr>
        <w:t>. </w:t>
      </w:r>
      <w:r>
        <w:rPr>
          <w:rFonts w:hint="eastAsia" w:ascii="仿宋" w:hAnsi="仿宋" w:eastAsia="仿宋" w:cs="仿宋"/>
          <w:i w:val="0"/>
          <w:iCs w:val="0"/>
          <w:caps w:val="0"/>
          <w:color w:val="333333"/>
          <w:spacing w:val="-4"/>
          <w:sz w:val="24"/>
          <w:szCs w:val="24"/>
        </w:rPr>
        <w:t>参赛选手应严格遵守赛场纪律，服从评委、现场工作人员的指挥，在竞赛过程中不得擅自离开赛场，如有特殊情况，须经评委同意后作妥善处理。</w:t>
      </w:r>
    </w:p>
    <w:p w14:paraId="30CC4E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Times New Roman" w:eastAsia="仿宋" w:cs="Times New Roman"/>
          <w:i w:val="0"/>
          <w:iCs w:val="0"/>
          <w:caps w:val="0"/>
          <w:color w:val="333333"/>
          <w:spacing w:val="-4"/>
          <w:sz w:val="24"/>
          <w:szCs w:val="24"/>
          <w:lang w:val="en-US" w:eastAsia="zh-CN"/>
        </w:rPr>
        <w:t>4</w:t>
      </w:r>
      <w:r>
        <w:rPr>
          <w:rFonts w:hint="default" w:ascii="Times New Roman" w:hAnsi="Times New Roman" w:eastAsia="仿宋" w:cs="Times New Roman"/>
          <w:i w:val="0"/>
          <w:iCs w:val="0"/>
          <w:caps w:val="0"/>
          <w:color w:val="333333"/>
          <w:spacing w:val="-4"/>
          <w:sz w:val="24"/>
          <w:szCs w:val="24"/>
        </w:rPr>
        <w:t>. </w:t>
      </w:r>
      <w:r>
        <w:rPr>
          <w:rFonts w:hint="eastAsia" w:ascii="仿宋" w:hAnsi="仿宋" w:eastAsia="仿宋" w:cs="仿宋"/>
          <w:i w:val="0"/>
          <w:iCs w:val="0"/>
          <w:caps w:val="0"/>
          <w:color w:val="333333"/>
          <w:spacing w:val="-4"/>
          <w:sz w:val="24"/>
          <w:szCs w:val="24"/>
        </w:rPr>
        <w:t>在往届市级（含市级）以上创新创业比赛获奖的项目不可报名参赛。</w:t>
      </w:r>
    </w:p>
    <w:p w14:paraId="18782F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4"/>
          <w:sz w:val="24"/>
          <w:szCs w:val="24"/>
        </w:rPr>
        <w:t>（二）注意事项</w:t>
      </w:r>
    </w:p>
    <w:p w14:paraId="2C16EF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1. </w:t>
      </w:r>
      <w:r>
        <w:rPr>
          <w:rFonts w:hint="eastAsia" w:ascii="仿宋" w:hAnsi="仿宋" w:eastAsia="仿宋" w:cs="仿宋"/>
          <w:i w:val="0"/>
          <w:iCs w:val="0"/>
          <w:caps w:val="0"/>
          <w:color w:val="333333"/>
          <w:spacing w:val="-4"/>
          <w:sz w:val="24"/>
          <w:szCs w:val="24"/>
        </w:rPr>
        <w:t>各类赛务人员必须统一佩戴由大赛组委会印制的相应证件，着装整齐。</w:t>
      </w:r>
    </w:p>
    <w:p w14:paraId="51E8E9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2. </w:t>
      </w:r>
      <w:r>
        <w:rPr>
          <w:rFonts w:hint="eastAsia" w:ascii="仿宋" w:hAnsi="仿宋" w:eastAsia="仿宋" w:cs="仿宋"/>
          <w:i w:val="0"/>
          <w:iCs w:val="0"/>
          <w:caps w:val="0"/>
          <w:color w:val="333333"/>
          <w:spacing w:val="-4"/>
          <w:sz w:val="24"/>
          <w:szCs w:val="24"/>
        </w:rPr>
        <w:t>除评委、现场工作人员以外，其他人员未经允许不得进入比赛区域。非参赛选手可进入一定区域观摩比赛，须听从赛场工作人员的管理，不得大声喧哗，不能影响竞赛正常进行。</w:t>
      </w:r>
    </w:p>
    <w:p w14:paraId="5C42C7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3. </w:t>
      </w:r>
      <w:r>
        <w:rPr>
          <w:rFonts w:hint="eastAsia" w:ascii="仿宋" w:hAnsi="仿宋" w:eastAsia="仿宋" w:cs="仿宋"/>
          <w:i w:val="0"/>
          <w:iCs w:val="0"/>
          <w:caps w:val="0"/>
          <w:color w:val="333333"/>
          <w:spacing w:val="-4"/>
          <w:sz w:val="24"/>
          <w:szCs w:val="24"/>
        </w:rPr>
        <w:t>所有参赛项目资料概不退还，请自行保留底稿。</w:t>
      </w:r>
    </w:p>
    <w:p w14:paraId="79C4CC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4. </w:t>
      </w:r>
      <w:r>
        <w:rPr>
          <w:rFonts w:hint="eastAsia" w:ascii="仿宋" w:hAnsi="仿宋" w:eastAsia="仿宋" w:cs="仿宋"/>
          <w:i w:val="0"/>
          <w:iCs w:val="0"/>
          <w:caps w:val="0"/>
          <w:color w:val="333333"/>
          <w:spacing w:val="-4"/>
          <w:sz w:val="24"/>
          <w:szCs w:val="24"/>
        </w:rPr>
        <w:t>如发现参赛项目有抄袭、盗用或侵犯他人知识产权的，即予取消其参赛资格，一切法律责任由参赛者自行负责。</w:t>
      </w:r>
    </w:p>
    <w:p w14:paraId="6849A7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5. </w:t>
      </w:r>
      <w:r>
        <w:rPr>
          <w:rFonts w:hint="eastAsia" w:ascii="仿宋" w:hAnsi="仿宋" w:eastAsia="仿宋" w:cs="仿宋"/>
          <w:i w:val="0"/>
          <w:iCs w:val="0"/>
          <w:caps w:val="0"/>
          <w:color w:val="333333"/>
          <w:spacing w:val="-12"/>
          <w:sz w:val="24"/>
          <w:szCs w:val="24"/>
        </w:rPr>
        <w:t>所有参赛项目均不得有与国家相关法律、法规相抵触的内容。</w:t>
      </w:r>
    </w:p>
    <w:p w14:paraId="7D2A0C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6. </w:t>
      </w:r>
      <w:r>
        <w:rPr>
          <w:rFonts w:hint="eastAsia" w:ascii="仿宋" w:hAnsi="仿宋" w:eastAsia="仿宋" w:cs="仿宋"/>
          <w:i w:val="0"/>
          <w:iCs w:val="0"/>
          <w:caps w:val="0"/>
          <w:color w:val="333333"/>
          <w:spacing w:val="-4"/>
          <w:sz w:val="24"/>
          <w:szCs w:val="24"/>
        </w:rPr>
        <w:t>组委会不承担因参赛项目所致的包括但不限于肖像权、名誉权、隐私权、著作权、商标权等纠纷而产生的法律责任。</w:t>
      </w:r>
    </w:p>
    <w:p w14:paraId="3E836F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4"/>
          <w:sz w:val="24"/>
          <w:szCs w:val="24"/>
        </w:rPr>
        <w:t>四、申诉与仲裁</w:t>
      </w:r>
    </w:p>
    <w:p w14:paraId="7A19D0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4"/>
          <w:sz w:val="24"/>
          <w:szCs w:val="24"/>
        </w:rPr>
        <w:t>（一）申诉</w:t>
      </w:r>
    </w:p>
    <w:p w14:paraId="6BD64B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1. </w:t>
      </w:r>
      <w:r>
        <w:rPr>
          <w:rFonts w:hint="eastAsia" w:ascii="仿宋" w:hAnsi="仿宋" w:eastAsia="仿宋" w:cs="仿宋"/>
          <w:i w:val="0"/>
          <w:iCs w:val="0"/>
          <w:caps w:val="0"/>
          <w:color w:val="333333"/>
          <w:spacing w:val="-4"/>
          <w:sz w:val="24"/>
          <w:szCs w:val="24"/>
        </w:rPr>
        <w:t>参赛选手对评判以及工作人员的行为有异议的，可以提出申诉，但必须提供确凿证据。</w:t>
      </w:r>
    </w:p>
    <w:p w14:paraId="570263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2. </w:t>
      </w:r>
      <w:r>
        <w:rPr>
          <w:rFonts w:hint="eastAsia" w:ascii="仿宋" w:hAnsi="仿宋" w:eastAsia="仿宋" w:cs="仿宋"/>
          <w:i w:val="0"/>
          <w:iCs w:val="0"/>
          <w:caps w:val="0"/>
          <w:color w:val="333333"/>
          <w:spacing w:val="-4"/>
          <w:sz w:val="24"/>
          <w:szCs w:val="24"/>
        </w:rPr>
        <w:t>选手申诉均由本代表队领队提出，最迟在比赛结束后两个小时以内以书面形式向仲裁委员会提出。</w:t>
      </w:r>
    </w:p>
    <w:p w14:paraId="379327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4"/>
          <w:sz w:val="24"/>
          <w:szCs w:val="24"/>
        </w:rPr>
        <w:t>（二）仲裁</w:t>
      </w:r>
    </w:p>
    <w:p w14:paraId="2A0578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1. </w:t>
      </w:r>
      <w:r>
        <w:rPr>
          <w:rFonts w:hint="eastAsia" w:ascii="仿宋" w:hAnsi="仿宋" w:eastAsia="仿宋" w:cs="仿宋"/>
          <w:i w:val="0"/>
          <w:iCs w:val="0"/>
          <w:caps w:val="0"/>
          <w:color w:val="333333"/>
          <w:spacing w:val="-4"/>
          <w:sz w:val="24"/>
          <w:szCs w:val="24"/>
        </w:rPr>
        <w:t>仲裁委员会要认真负责地受理选手申诉，并将处理意见及时通知领队。</w:t>
      </w:r>
    </w:p>
    <w:p w14:paraId="60D359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default" w:ascii="Times New Roman" w:hAnsi="Times New Roman" w:eastAsia="仿宋" w:cs="Times New Roman"/>
          <w:i w:val="0"/>
          <w:iCs w:val="0"/>
          <w:caps w:val="0"/>
          <w:color w:val="333333"/>
          <w:spacing w:val="-4"/>
          <w:sz w:val="24"/>
          <w:szCs w:val="24"/>
        </w:rPr>
        <w:t>2. </w:t>
      </w:r>
      <w:r>
        <w:rPr>
          <w:rFonts w:hint="eastAsia" w:ascii="仿宋" w:hAnsi="仿宋" w:eastAsia="仿宋" w:cs="仿宋"/>
          <w:i w:val="0"/>
          <w:iCs w:val="0"/>
          <w:caps w:val="0"/>
          <w:color w:val="333333"/>
          <w:spacing w:val="-4"/>
          <w:sz w:val="24"/>
          <w:szCs w:val="24"/>
        </w:rPr>
        <w:t>仲裁委员会的裁决为最终裁决，参赛选手不得因申诉或对处理意见不服而停止竞赛，否则按弃权处理。</w:t>
      </w:r>
    </w:p>
    <w:p w14:paraId="056F69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4"/>
          <w:sz w:val="24"/>
          <w:szCs w:val="24"/>
        </w:rPr>
        <w:t>五、其他</w:t>
      </w:r>
    </w:p>
    <w:p w14:paraId="55B987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624"/>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4"/>
          <w:sz w:val="24"/>
          <w:szCs w:val="24"/>
        </w:rPr>
        <w:t>本技术文件的最终解释权归</w:t>
      </w:r>
      <w:r>
        <w:rPr>
          <w:rFonts w:hint="eastAsia" w:ascii="仿宋" w:hAnsi="仿宋" w:eastAsia="仿宋" w:cs="仿宋"/>
          <w:i w:val="0"/>
          <w:iCs w:val="0"/>
          <w:caps w:val="0"/>
          <w:color w:val="333333"/>
          <w:spacing w:val="-4"/>
          <w:sz w:val="24"/>
          <w:szCs w:val="24"/>
          <w:lang w:val="en-US" w:eastAsia="zh-CN"/>
        </w:rPr>
        <w:t>校企合作与就业处</w:t>
      </w:r>
      <w:r>
        <w:rPr>
          <w:rFonts w:hint="eastAsia" w:ascii="仿宋" w:hAnsi="仿宋" w:eastAsia="仿宋" w:cs="仿宋"/>
          <w:i w:val="0"/>
          <w:iCs w:val="0"/>
          <w:caps w:val="0"/>
          <w:color w:val="333333"/>
          <w:spacing w:val="-4"/>
          <w:sz w:val="24"/>
          <w:szCs w:val="24"/>
        </w:rPr>
        <w:t>。</w:t>
      </w:r>
    </w:p>
    <w:p w14:paraId="38ED8472">
      <w:pPr>
        <w:keepNext w:val="0"/>
        <w:keepLines w:val="0"/>
        <w:pageBreakBefore w:val="0"/>
        <w:kinsoku/>
        <w:wordWrap/>
        <w:overflowPunct/>
        <w:topLinePunct w:val="0"/>
        <w:autoSpaceDE/>
        <w:autoSpaceDN/>
        <w:bidi w:val="0"/>
        <w:adjustRightInd/>
        <w:snapToGrid/>
        <w:spacing w:line="336" w:lineRule="auto"/>
        <w:textAlignment w:val="auto"/>
        <w:rPr>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606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CFF3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6CFF3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NTJjOTE5MDQ5ZDQyODQxZGMzM2ExMzM0ZWEyMzYifQ=="/>
  </w:docVars>
  <w:rsids>
    <w:rsidRoot w:val="00000000"/>
    <w:rsid w:val="098178A3"/>
    <w:rsid w:val="20E17D82"/>
    <w:rsid w:val="259C5E8E"/>
    <w:rsid w:val="31C95A0E"/>
    <w:rsid w:val="33513D37"/>
    <w:rsid w:val="419F362E"/>
    <w:rsid w:val="44FC3141"/>
    <w:rsid w:val="466A4AD8"/>
    <w:rsid w:val="4A653749"/>
    <w:rsid w:val="4BF960EE"/>
    <w:rsid w:val="5DDF5B1F"/>
    <w:rsid w:val="64DC74D0"/>
    <w:rsid w:val="78556E25"/>
    <w:rsid w:val="7930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公文一级目录"/>
    <w:basedOn w:val="1"/>
    <w:link w:val="10"/>
    <w:qFormat/>
    <w:uiPriority w:val="0"/>
    <w:pPr>
      <w:ind w:firstLine="640" w:firstLineChars="200"/>
    </w:pPr>
    <w:rPr>
      <w:rFonts w:ascii="黑体" w:eastAsia="黑体"/>
      <w:sz w:val="32"/>
      <w:szCs w:val="32"/>
    </w:rPr>
  </w:style>
  <w:style w:type="paragraph" w:customStyle="1" w:styleId="8">
    <w:name w:val="公文二级目录"/>
    <w:basedOn w:val="1"/>
    <w:qFormat/>
    <w:uiPriority w:val="0"/>
    <w:pPr>
      <w:ind w:firstLine="640" w:firstLineChars="200"/>
    </w:pPr>
    <w:rPr>
      <w:rFonts w:ascii="楷体_GB2312" w:hAnsi="仿宋" w:eastAsia="楷体_GB2312"/>
      <w:sz w:val="32"/>
      <w:szCs w:val="32"/>
    </w:rPr>
  </w:style>
  <w:style w:type="paragraph" w:customStyle="1" w:styleId="9">
    <w:name w:val="公文正文"/>
    <w:basedOn w:val="1"/>
    <w:qFormat/>
    <w:uiPriority w:val="0"/>
    <w:pPr>
      <w:ind w:firstLine="640" w:firstLineChars="200"/>
    </w:pPr>
    <w:rPr>
      <w:rFonts w:ascii="仿宋" w:hAnsi="仿宋" w:eastAsia="仿宋"/>
      <w:sz w:val="32"/>
      <w:szCs w:val="32"/>
    </w:rPr>
  </w:style>
  <w:style w:type="character" w:customStyle="1" w:styleId="10">
    <w:name w:val="公文一级目录 Char"/>
    <w:link w:val="7"/>
    <w:qFormat/>
    <w:uiPriority w:val="0"/>
    <w:rPr>
      <w:rFonts w:ascii="黑体" w:eastAsia="黑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1643</Words>
  <Characters>1691</Characters>
  <Lines>0</Lines>
  <Paragraphs>0</Paragraphs>
  <TotalTime>1</TotalTime>
  <ScaleCrop>false</ScaleCrop>
  <LinksUpToDate>false</LinksUpToDate>
  <CharactersWithSpaces>1709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2022-09-27T03:35:00Z</dcterms:created>
  <dc:creator>Administrator</dc:creator>
  <cp:lastModifiedBy>靖旻</cp:lastModifiedBy>
  <dcterms:modified xsi:type="dcterms:W3CDTF">2025-10-23T07:50:53Z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A60BBECACF2B4BA8B94FF697701F5472_13</vt:lpwstr>
  </property>
  <property fmtid="{D5CDD505-2E9C-101B-9397-08002B2CF9AE}" pid="4" name="KSOTemplateDocerSaveRecord">
    <vt:lpwstr>eyJoZGlkIjoiNDJiZWZlNTQ4YzMwZTQxNTQzMGQ3OGU5MjY1NGM4OTEiLCJ1c2VySWQiOiIyMzQyMjEyNzgifQ==</vt:lpwstr>
  </property>
</Properties>
</file>